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6B" w:rsidRPr="00C41C0F" w:rsidRDefault="00661CEA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b/>
          <w:color w:val="000000"/>
          <w:sz w:val="28"/>
        </w:rPr>
        <w:t>Льноводство и русская кооперация</w:t>
      </w:r>
    </w:p>
    <w:p w:rsidR="00661CEA" w:rsidRPr="00C41C0F" w:rsidRDefault="00661CEA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Лен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одна из древнейших сельскохозяйственных культур. В России лен разводился с незапамятных времен.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Р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усский шелк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удивительная культура. Это не только прядильное, но и масленичное растение. Из семени льна изготовляется масло и жмыхи. А из стебля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волокно. Но утилизируются и отходы. Из соломы можно также сделать волокно. А из грубых волокон и отходов очесов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важное значение имеет пакля, широко используемая в строительстве.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Наиболее древнее разведение льна на Руси происходило в Псковской области, затем в Новгородской и Суздальской. Далее льноводство окрепло по берегам рек Вологды, Сухоны, Ваги. Впоследствии лен стал повсеместно разводится в Нечерноземной полосе и в северных губерниях Черноземной. К концу XIX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площадь посева льна в 50 губерниях Европейской России составляла 1,152 тыс. дес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 а сбор волокна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16,900 тыс. пудов.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Лен шел не только на домашние нужды, но и довольн</w:t>
      </w:r>
      <w:r w:rsidR="00CB5851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о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скоро стал предметом внешней торговли. Петр I, хорошо понимая значение льна, заводил казенные полотняные фабрики, поощрял частные предприятия и намеревался запретить ввоз иностранных полотен.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К середине XIX века лен занял первое место во внешней торговле России. В </w:t>
      </w:r>
      <w:smartTag w:uri="urn:schemas-microsoft-com:office:smarttags" w:element="metricconverter">
        <w:smartTagPr>
          <w:attr w:name="ProductID" w:val="184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1845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его было вывезено на 19 млн. руб., в то время как вывоз хлеба не превышал 12 млн., сала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7 млн. серебряных рублей. В последней четверти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XFX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века вывоз льна (и пакли) достиг значительного объема, колеблясь от 8,6 млн. луд до 14,8 млн. пуд (</w:t>
      </w:r>
      <w:smartTag w:uri="urn:schemas-microsoft-com:office:smarttags" w:element="metricconverter">
        <w:smartTagPr>
          <w:attr w:name="ProductID" w:val="1881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1881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.). Тогда же определились и главные районы, поставлявшие лен на экспорт. Это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Северо-запад (Прибалтика, Псковщина, Белоруссия) и Северо-восток (Ярославская, Костромская, Вологодская, Вятская, Владимирская губернии).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1861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и новые железные дороги расширили география промышленного производства льна. Проведение новых железных дорог облегчало доставку льна к местам сбыта, а сам сбыт поощрялся все увеличивающимся спросом из-за границы.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К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Россия стала главным производителем льна в Европе. Посевные площади льна в России составляли 1,5 млн. дес., в то время как по остальным льносеющим странам Европы вместе взятым (Австро-Венгрия, Венгрия, Голландия, Ирландия, Румыния, Сербия, Франция, Швеция) площадь посева составляла лишь 0,1 млн. дес. Правда, среднеевропейский урожай льна был выше, чем в России; 44,8 пуд. с десятины против 34.0 пуд. Доля России в мировом производстве льна составляла 8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Основное производство льна сосредотачивалось по-прежнему в Европейской России, на 27 льноводческие губе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рнии которой приходилось более 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млн. дес. посева. Здесь в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был собран урожай в 51,9 млн. пуд. льна. В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Россия вывозила за рубеж 16,6 млн. пуд. льна на сумму 86,8 млн. руб., и кроме того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1,9 млн. пуд. льняной кудели и пакли на сумму 7,4 млн. руб.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Развитие льноводства в начале XX века неразрывно связано с кооперацией, которую в это время захлестывает бурный рост. Подъем кооперативного движения связан был с рядом позитивных сдвигов, наблюдавшихся в сельском хозяйстве. В это время происходил общий подъем сельского хозяйства, центр тяжести сельскохозяйственного производства переносится на крестьянское хозяйство, в этой связи наблюдается оживление агрономической службы в кооперации, крестьянскому хозяйству уделяется более пристальное внимание со стороны земской статистики, происходит переориентация высших учебных заведений сельскохозяйственного профиля на крестьянское хозяйство, наконец, начинается осмысление новых проблем развития крестьянского хозяйства сельскохозяйственной наукой.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Первая попытка организации кооперативного сбыта льна была предпринята в </w:t>
      </w:r>
      <w:smartTag w:uri="urn:schemas-microsoft-com:office:smarttags" w:element="metricconverter">
        <w:smartTagPr>
          <w:attr w:name="ProductID" w:val="1912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1912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в Прибалтике. В </w:t>
      </w:r>
      <w:smartTag w:uri="urn:schemas-microsoft-com:office:smarttags" w:element="metricconverter">
        <w:smartTagPr>
          <w:attr w:name="ProductID" w:val="1914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1914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возникли договорные объединения кооперативов по организации совместного сбыта льна в Тверской и Московской губерниях, а в сентябре </w:t>
      </w:r>
      <w:smartTag w:uri="urn:schemas-microsoft-com:office:smarttags" w:element="metricconverter">
        <w:smartTagPr>
          <w:attr w:name="ProductID" w:val="191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представители 43 кооперативов учредили Центральное товарищество льноводов (ЦТЛ)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всероссийское кооперативное объединение в области льноводства. В правление товарищества вошли известные кооперативные деятели: 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Л. Маслов,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А.А.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Рыбников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В.И.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Анисимов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и др.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 отличие, допустим, от маслоделия в области льноводства специальные кооперативы не создавались, а ЦТЛ работало со всеми первичными кооперативами и кооперативными союзами, которые в качестве одной из своих функций соглашались веста скупку льна у его производителей и частично осуществлять ею первичную обработку. Такие первичные кооперативы и союзы становились членами ЦТЛ. Товарищество брало на себя организация сбыта заготовленной продукц</w:t>
      </w:r>
      <w:r w:rsidR="002A0C6B">
        <w:rPr>
          <w:rStyle w:val="FontStyle12"/>
          <w:rFonts w:ascii="Times New Roman" w:hAnsi="Times New Roman" w:cs="Times New Roman"/>
          <w:color w:val="000000"/>
          <w:sz w:val="28"/>
        </w:rPr>
        <w:t>ии, в том числе и за границу, 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также снабжение крестьян чер</w:t>
      </w:r>
      <w:r w:rsidR="002A0C6B">
        <w:rPr>
          <w:rStyle w:val="FontStyle12"/>
          <w:rFonts w:ascii="Times New Roman" w:hAnsi="Times New Roman" w:cs="Times New Roman"/>
          <w:color w:val="000000"/>
          <w:sz w:val="28"/>
        </w:rPr>
        <w:t>ез первичные кооперативы и союзы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необходимым инвентарем, семенами и др.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vertAlign w:val="superscript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Такая специализация оказалась целесообразной, сеть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и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операции ЦТЛ быстро росли. ЦТЛ объединяло 500 тыс. крестьянских хозяйств 19 льноводческих губерний. Во второй сезон 1916/1917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ЦТЛ вело операции уже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с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18 союзами и 82 отдельными кооперативами, в сезон 1917/1918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 32 союзами (в операциях со льном в которых подключились более 4000 первичных объединений, в основном, кредитных) и со 139 отдельными кооперативами. Стоимость заготовленного льн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возрос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ла с 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млн. руб. в первом операционном году до 27 млн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руб. во втором и до 180 млн. руб. в 1917/1918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Общее число крестьянских хозяйств, приобщившихся благодаря ЦТЛ к кооперативному сбыту льна, составило, по определению различных авторов, от 1,5 до 2 млн. занятых выращиванием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эт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ой культуры в 19 губерниях. Удельный вес этой системы в общих заготовках льн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возрос с 0,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6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 1915/1916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до 6,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3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 1916/1917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и до 19,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2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1917/1918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 каждым годом кооперативные заготовки льна все более расширялись, вытесняя с рынка частного предпринимателя. Этому способствовало не только укрепление самой кооперации, но и ослабление позиций частного заготовителя, который часто уже не удерживал тягот мировой войны.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Важную роль в становлении сельскохозяйственной кооперации и, в частности, льноводческой, принадлежит русскому экономисту, агроному и кооператору Александру Васильевичу Чаянову. Довольно рано в своей научной и практической работе он проявил интерес к русскому льноводству. Вскоре после окончания МИСХ он пишет ряд специальных работ, посвященных выращиванию льна.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кооперировании льноводческих хозяйств на Севере России вместе с Чаяновым работали Александр Топильский, Александр Рыбников, Семен Маслов (в </w:t>
      </w:r>
      <w:smartTag w:uri="urn:schemas-microsoft-com:office:smarttags" w:element="metricconverter">
        <w:smartTagPr>
          <w:attr w:name="ProductID" w:val="1917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1917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последний министр земледелия Временного правительства), Кузьма Панков, Николай Розов, Константин Дысский, Густав Круминг, Иван Слышков, Георгий Зубарев, священник Иоанн Лебедев. Но именно Чаянов выдвинулся как наиболее активный организатор, теоретик и практик льноводческой кооперации.</w:t>
      </w:r>
    </w:p>
    <w:p w:rsidR="00D44D6B" w:rsidRPr="00C41C0F" w:rsidRDefault="00C41C0F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А.В.</w:t>
      </w:r>
      <w:r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Чаянову</w:t>
      </w:r>
      <w:r w:rsidR="00D44D6B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еще в</w:t>
      </w:r>
      <w:r w:rsidR="00CB5851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911 г"/>
        </w:smartTagPr>
        <w:r w:rsidR="00CB5851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</w:t>
        </w:r>
        <w:r w:rsidR="00D44D6B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911</w:t>
        </w:r>
        <w:r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="00D44D6B" w:rsidRPr="00C41C0F">
        <w:rPr>
          <w:rStyle w:val="FontStyle12"/>
          <w:rFonts w:ascii="Times New Roman" w:hAnsi="Times New Roman" w:cs="Times New Roman"/>
          <w:color w:val="000000"/>
          <w:sz w:val="28"/>
        </w:rPr>
        <w:t>. было поручено проведение бюджетных обследований льноводческих хозяйств с целью выяснения стабильности их экономики. На 2</w:t>
      </w:r>
      <w:r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м</w:t>
      </w:r>
      <w:r w:rsidR="00D44D6B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Всероссийском съезде льноводов в </w:t>
      </w:r>
      <w:smartTag w:uri="urn:schemas-microsoft-com:office:smarttags" w:element="metricconverter">
        <w:smartTagPr>
          <w:attr w:name="ProductID" w:val="1913 г"/>
        </w:smartTagPr>
        <w:r w:rsidR="00D44D6B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="00D44D6B" w:rsidRPr="00C41C0F">
        <w:rPr>
          <w:rStyle w:val="FontStyle12"/>
          <w:rFonts w:ascii="Times New Roman" w:hAnsi="Times New Roman" w:cs="Times New Roman"/>
          <w:color w:val="000000"/>
          <w:sz w:val="28"/>
        </w:rPr>
        <w:t>. он обращает внимание на трудность объединения крестьян в льноводческую кооперацию, на создание реальной заинтересованности крестьян в ее образовании. Кооперация может заинтересовать крестьян только в том случае, если она предлагает более высокие закупочные цены по сравнению с частным скупщиком. Ее авторитет в тесной связи с крестьянами, она должна быть доподлинно крестьянской. Чаянов предлагает организовать кооперативный сбыт льна таким образом, чтобы место кооперативной приемки было близко крестьянскому хозяйству, а условия приемки удобны и более выгодны, чем на базаре у прасола.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Первая выгода от сдачи льна в кооперативе заключалась в объективной оценке качества сырья. Дело в том, что лен как никакой другой товар оценивался сугубо субъективно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на ощупь (в то время как, например, жирность и качество молока можно было определить лактометром, крупность и свежесть яиц также соответствующими приборами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и т.д.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), что давало возможность прасолам беззастенчиво обманывать крестьян.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Поэтому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А.В.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Чаянов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призывал кооператоров тщательно определять качество и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ценность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льна, стремясь к точности, справедливости и гласности. В этом он видел огромную моральную и притягательную силу кооперации.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Выработка объективной оценки льна предполагала и такую же объективную и своевременную оплату сданного товара,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Р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убль,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подчеркивал Чаянов,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является лучшим педагогом для сельскохозяйственного человека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И здесь возникают два серьезнейших вопроса: во-первых, где и сколько денег необходимо для расчета с крестьянами, равно как своевременно доставить их на место; во-вторых, как расплачиваться?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Что касается первого, то к моменту образования ЦТЛ существовал и набирал сил кооперативный Московский народный банк, на помощь которого всегда можно было рассчитывать; были и иные возможности финансирования операций по сбыту льна. Сложнее было со вторым вопросом.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Чаянов полагал, что с народнохозяйственной точки зрения наиболее желательным было бы, если бы крестьянин, передавая на продажу свой продукт в кооператив, не требовал бы никакой немедленной расплаты, а получал бы только в конце операций деньги, вырученные кооперативом за проданный лен (гак называемое поручительство в оплате по векселям).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Но крестьянин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большой реалист, к тому же у него хронически не хватает денег, поэтому крестьяне неохотно шли на такие поручения и искали пути получения при сдаче продукта хотя бы некоторой части его стоимости. Поэтому в качестве одного из возможных путей Чаянов предлагал выдавать некоторую сумму денег при приемке продукта, считая ее отдельной и независимой от сбытовых операций.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На практике складывались и иные формы взаимоотношения кооперации с населением. Товар, грубо рассортированный при приемке и обезличенный, в дальнейшем подвергался более тщательному </w:t>
      </w:r>
      <w:r w:rsidRPr="00C41C0F">
        <w:rPr>
          <w:rStyle w:val="FontStyle14"/>
          <w:rFonts w:ascii="Times New Roman" w:hAnsi="Times New Roman" w:cs="Times New Roman"/>
          <w:color w:val="000000"/>
          <w:sz w:val="28"/>
        </w:rPr>
        <w:t xml:space="preserve">сортированию.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Это исключительно важная и сложная работа. Иногда искусное сортирование дает возможность получать значительные барыши. Руководство ЦТЛ довольно быстро поняло все выгоды поиска оптимальных методов осуществления сортировки льна и разрабатывало подробные инструкции сортировки, готовило специальный для этого персонал, устраивало курсы для сортировщиков, организовывало при ЦТЛ особую коллегию инспекторов сортирования.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Также тщательно были отработаны метода последующих операций: формировки торговых партий, хранения товара, его транспортирования, проработаны проблемы торговой политики, порядок заключения сделок и окончательного расчета с крестьянами и кредитными учреждениями.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Серьезное отношение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к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проблемам кооперативного сбыта, знание рыночной конъюнктуры, тщательное изучение конкурентов, умение заинтересовать крестьянина в участии в кооперативной работе и многое другое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все это и позволило льноводческой кооперации успешно преодолевать частных посредников и выдвигаться на передние позиции на внутреннем рынке, а затем также уверенно выйти на мировой рынок. Уже в первый год своего существования ЦТЛ установило торговые связи с Англией, Францией, Японией и продало им 61 310 пуд. волокон на сумму 700 684 руб. Россия экспортировала 6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своего льна.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марте </w:t>
      </w:r>
      <w:smartTag w:uri="urn:schemas-microsoft-com:office:smarttags" w:element="metricconverter">
        <w:smartTagPr>
          <w:attr w:name="ProductID" w:val="1916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1916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с целью объединения сил частного капитала и кооперации в борьбе за мировой рынок, а также для регулирования экспорта льна был организован Комитет по делам льняной и джутовой промышленности. Комитет создал объединенную организации в лице ЦТЛ и Русского акционерного льнопромышленного общества (РАЛО), предоставив ей исключительное право вывоза льна под контролем комитета. В 1916/1917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объединенной организацией было собрано 1,6 млн. пуд. льна, из которых 941,5 тыс.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пуд. приходилось на долю РАЛО. Франко-Британскому комитету удалось заготовить при помощи российских частных торговцев, не работавших на объединенную организацию. 4,5 млн. пуд. Таким образом, объединенная организация заготовила льна в 3 раза меньше, чем английская компания'. Тем не менее, выход новой организации на мировой рынок вызвал серьезную обеспокоенность англичан, которые довольно вольготно чувствовали себя в закутке русского льна непосредственно в России. Они выступили с категорическим требованием предоставления им для заготовки льна лучших льнопроизводящих районов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Англичане встретили решительный отпор с русской стороны, но, тем не менее, внесли раскол в отношения между РАЛО и ЦТЛ.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конце </w:t>
      </w:r>
      <w:smartTag w:uri="urn:schemas-microsoft-com:office:smarttags" w:element="metricconverter">
        <w:smartTagPr>
          <w:attr w:name="ProductID" w:val="1916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1916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РАЛО пытается строить свою деятельность самостоятельно, не согласовывая своих действий с ЦТЛ. Разногласия ЦТЛ с РАЛО вынудили кооперацию выйти из состава объединенной организации и действовать самостоятельно. 17 июля </w:t>
      </w:r>
      <w:smartTag w:uri="urn:schemas-microsoft-com:office:smarttags" w:element="metricconverter">
        <w:smartTagPr>
          <w:attr w:name="ProductID" w:val="1917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1917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ЦТЛ заключил договор с Союзом шведских льнопрядильных фабрик, согласно которому 12 первичных кооперативных союзов должны были поставить 124 тыс. пуд. льна на сумму более 3 млн. руб.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Крупные поставки льна осуществлялись также через фирму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М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алькольм и К°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Наладились связи с Франко-Британским комитетом по договорам, заключенным в </w:t>
      </w:r>
      <w:smartTag w:uri="urn:schemas-microsoft-com:office:smarttags" w:element="metricconverter">
        <w:smartTagPr>
          <w:attr w:name="ProductID" w:val="1917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1917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Экспорт же осуществлялся с помощью Союза сибирских маслодельных артелей и представителя Московского народного банка в Лондоне.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Развивая свою внешнеторговую деятельность, Льноцентр приобрел известность на мировом рынке, так как кооперативный лен стал превосходить по качеству лен частных фирм. Свою роль экспортера льна ЦТЛ сохраняет и в первые месяцы после революции. Роль льна как экспортного сырья выдвинулась на первый план.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Феномен льняной кооперации заключался в счастливом сочетании инициативы, маневренности, удачно найденной организации дела, знании рынка, конкурентов, в отлаженных действиях всех частей кооперативного механизма от сбор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и оплат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ы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урожая до доставки товара по назначению. Все это вместе взятое обеспечило стремительный прорыв льняной кооперации на внутреннем и международном рынках и занятие там доминирующего положения.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Октябрь </w:t>
      </w:r>
      <w:smartTag w:uri="urn:schemas-microsoft-com:office:smarttags" w:element="metricconverter">
        <w:smartTagPr>
          <w:attr w:name="ProductID" w:val="1917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1917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внес существенные изменения в судьбу российской кооперации. Хотя сперва все складывалось вроде бы не так уж плохо.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 1918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919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начинает складываться практика сотрудничества центров и союзов сельскохозяйственной кооперации с центральными и местными органами советской власти на основе договоров, заключаемых между ними. Конечно же, это не были договоры равноправных партнеров, но в то же время они оказались относительно взаимоприемлемыми и отражали компромисс между властью и кооперацией, который был положен в основу декрета от 12 апреля </w:t>
      </w:r>
      <w:smartTag w:uri="urn:schemas-microsoft-com:office:smarttags" w:element="metricconverter">
        <w:smartTagPr>
          <w:attr w:name="ProductID" w:val="1918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1918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о потребительских кооперативных организациях.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По договорам кооперативы заготовляли продукты у населения и все операции велись за счет государства на авансы, которые распределялись через кооперативные центры. За выполненные операции кооперация получала определенное вознаграждение. В такой работе кооперативные начала оказались весьма урезанными, деформированными. Финансовая зависимость от государства резко снижала маневренность работы.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vertAlign w:val="superscript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ЦТЛ в 1918/1919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располагало 500 сборными пунктами в 14 губерниях. Через льняную кооперацию государство в сезон 1918/1919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заготовило 2,2 млн. пуд. льна при общем объеме заготовок в 3,5 млн. пуд.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Разруха и голод взвинчивали цены прежде всего на продовольственные культуры. Спрос на промышленно-технические растения резко уменьшился. Это заставило крестьян менять пропорции производства культур: по возможности увеличивать или хотя бы сохранять прежние размеры посева под продовольственными и резко сокращать или вообще отказаться от производства технических культур.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Лен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наиболее характерная культура для нечерноземных районов Европейской России. В условиях воины и разрухи крестьяне повсеместно ограничивали площади под льном, заменяя их продовольственными культу рами. У крестьян не было стимула для развития льноводства. В </w:t>
      </w:r>
      <w:smartTag w:uri="urn:schemas-microsoft-com:office:smarttags" w:element="metricconverter">
        <w:smartTagPr>
          <w:attr w:name="ProductID" w:val="1918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1918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на один пуд льноволокна можно было обменять 0,22 пуд. ржи, в то время как в </w:t>
      </w:r>
      <w:smartTag w:uri="urn:schemas-microsoft-com:office:smarttags" w:element="metricconverter">
        <w:smartTagPr>
          <w:attr w:name="ProductID" w:val="1912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1912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5,25 пуд. Реорганизация кооперации, проведенные в 1919 и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., фактически привели к полному разрушению сельскохозяйственной кооперации. Опытный аппарат центров сельскохозяйственной кооперации в большинстве своем расстроился и рассеялся по другим учреждениям или вовсе оказался не у дел. Государство создавало новую систему государственных заготовок, в том числе и льна. Отрицательно действовала и система государственных заготовок. Отказавшись от услуг льноводческой кооперации, государство создавало новый, негибкий, многоступенчатый заготовительный аппарат, посредствующие звенья которого требовали значительных накладных расходов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заготовительные цены, крайне низкие, были для крестьянина совершенно невыгодными. Посевы льна снизились до уровня, обеспечивающего потребности лишь самого крестьянского хозяйства. В льноводческой Тверской губернии имели место случаи, когда льносолома шла на покрытие крыш и подстилку для скота. Население активно взялось за выращивание хлеба, несмотря на то, что здесь он родился плохо.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Сокращение посевов льна в льноводческих районах повлекло за собой увеличение его посевов в хлебородных губерниях, вынудив тем самым из-за отсутствия рынка льна увеличить его посевы, хотя бы в размерах, необходимых, для потребления в своих хозяйствах: Казанской, Орловской, Пензенской, Самарской, Саратовской, Симбирской, Тамбовской, Тульской, Уфимской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Екатеринбургской губерниях.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До революции Смоленщина занимала одно из первых мест в стране по посевам льна, и для многих крестьянских хозяйств лен являлся основным источником дохода. С 1908 по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вывоз льноволокна из Смоленской губернии колебался от 2 до 5 млн. пуд. в год. В последующие годы площадь посева льна сокращается (в тыс. дес.)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 целом же все лънопроизводящие губернии: Витебская, Владимирская, Вологодская, Вятская, Иваново-Вознесенская, Калужская, Костромская, Московская, Нижегородская, Новгородская, Олонецкая, Петроградская, Псковская, Смоленская, Тверская, Череповецкая, Ярославская, то есть все губернии Нечерноземной полосы, кроме Пермской, резко, чуть ли не вдвое сократили посевы льна.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е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делается попытка восстановления русского льноводства. В частности, в плане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Н.Д.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Кондратьева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о перспективах развития сельского и лесного хозяйства (</w:t>
      </w:r>
      <w:smartTag w:uri="urn:schemas-microsoft-com:office:smarttags" w:element="metricconverter">
        <w:smartTagPr>
          <w:attr w:name="ProductID" w:val="1924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1924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.) было обращено внимание на поднятие урожайности и валовых сборов технических культур, в том числе и льна. Именно технические культуры должны были стать главной статьей вывоза сельскохозяйственной продукции. И именно по ним СССР мог бы составить конкуренцию на мировом рынке.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vertAlign w:val="superscript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Однако автаркическая идея (как следствие доктрины о возможности победы социализма в одной, отдельной взятой стране), овладевшая с середины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умами тогдашних правителей, и Сталина прежде всего, становится все менее ориентированной на содружество стран в единой мировой системе хозяйствования. Это обстоятельство имело самую прямую обратную связь: ослабление внешнеэкономических связей, усиление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неконкурентоспособности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наших товаров, технологический застой, убыточность производства, незаинтересованность производителя. А отсутствие гарантированной защиты, экономической заинтересованности производителя не располагало крестьян к производству трудоемких товарных культур, прежде всего технических, и сохраняло тенденцию преимущественного развития производства продовольственных культур. Поэтому, а также благодаря сознательному выбору руководства (план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Н.Д.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Кондратьева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и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Н.П.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Огановского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вообще был отвергнут), экспорт СССР по-прежнему базировался на зерне, в то время как возможности в этом направлении безнадежного падали и в силу потери позиций на мировом рынке еще в начале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Эти потери происходили не только в результате активного вторжения Америки и Австралии в хлебный мировой рынок, но и за счет пассивности и нерентабельности экспорта СССР. И хотя посевные площади под лен в середине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были восстановлены на уровне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(в </w:t>
      </w:r>
      <w:smartTag w:uri="urn:schemas-microsoft-com:office:smarttags" w:element="metricconverter">
        <w:smartTagPr>
          <w:attr w:name="ProductID" w:val="1924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1924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1,3 млн. дес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 в </w:t>
      </w:r>
      <w:smartTag w:uri="urn:schemas-microsoft-com:office:smarttags" w:element="metricconverter">
        <w:smartTagPr>
          <w:attr w:name="ProductID" w:val="192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1,6 млн. дес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 в </w:t>
      </w:r>
      <w:smartTag w:uri="urn:schemas-microsoft-com:office:smarttags" w:element="metricconverter">
        <w:smartTagPr>
          <w:attr w:name="ProductID" w:val="1926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1926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1,5 млн. дес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), урожайность оставалась низкой, ниже, чем до войны. В </w:t>
      </w:r>
      <w:smartTag w:uri="urn:schemas-microsoft-com:office:smarttags" w:element="metricconverter">
        <w:smartTagPr>
          <w:attr w:name="ProductID" w:val="1924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1924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сбор волокна с одной десятины составлял 15,7 пуд., в </w:t>
      </w:r>
      <w:smartTag w:uri="urn:schemas-microsoft-com:office:smarttags" w:element="metricconverter">
        <w:smartTagPr>
          <w:attr w:name="ProductID" w:val="192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15,5 пуд., в </w:t>
      </w:r>
      <w:smartTag w:uri="urn:schemas-microsoft-com:office:smarttags" w:element="metricconverter">
        <w:smartTagPr>
          <w:attr w:name="ProductID" w:val="1926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1926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14,0 пуд. Уменьшились и валовые сборы. Волокна в </w:t>
      </w:r>
      <w:smartTag w:uri="urn:schemas-microsoft-com:office:smarttags" w:element="metricconverter">
        <w:smartTagPr>
          <w:attr w:name="ProductID" w:val="1924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1924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собрали 18,5 млн. пуд., в </w:t>
      </w:r>
      <w:smartTag w:uri="urn:schemas-microsoft-com:office:smarttags" w:element="metricconverter">
        <w:smartTagPr>
          <w:attr w:name="ProductID" w:val="192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22,8 млн. пуд., в </w:t>
      </w:r>
      <w:smartTag w:uri="urn:schemas-microsoft-com:office:smarttags" w:element="metricconverter">
        <w:smartTagPr>
          <w:attr w:name="ProductID" w:val="1926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1926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20,1 млн. пуд.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Вновь активную роль в восстановлении льноводства стала играть льноводческая кооперация. В </w:t>
      </w:r>
      <w:smartTag w:uri="urn:schemas-microsoft-com:office:smarttags" w:element="metricconverter">
        <w:smartTagPr>
          <w:attr w:name="ProductID" w:val="1922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1922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был воссоздан ее центр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Льноцентр. Шло активное организованное строительство. Укреплялась на местах сеть кооперативов. Возвращались старые кадры. Однако работать было трудно. Не говоря о политических причинах (некомпетентное партийное руководство, всестороннее вмешательство и контроль со стороны партийно-советских органов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и т.д.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), наиболее сложной была финансовая сторона дела. Деревня, несмотря на подъем сельского хозяйства в 1920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е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гг., оставалась мало капиталоемкой. Кооперация же не располагала достаточными собственными средствами. Сложно обстояло дело с получением кредита. А именно в условиях кредитования, как заметил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А.В.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Чаянов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с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ледует часто искать ключ к пониманию убытков или успеха кредитования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Однако негибкость и неманевренность учреждений, осуществлявших кредитование, не приносили желаемых результатов, заготовительная работа кооперации продвигалась с трудом. Но главное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сам производитель все более утрачивал заинтересованность в выращивании льна.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Излишне говорить о дальнейшем развитии льноводства в годы коллективизации, Отечественной войны и в годы послевоенной разрухи. Тем не менее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 послевоенные годы посевные площади под эту культуру постепенно восстанавливаются.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выращивании льна безраздельно господствовало колхозно-совхозное производство. Крестьянское производство ушло в далекое прошлое. География льноводства не меняется. Нечерноземная зона РСФСР в </w:t>
      </w:r>
      <w:smartTag w:uri="urn:schemas-microsoft-com:office:smarttags" w:element="metricconverter">
        <w:smartTagPr>
          <w:attr w:name="ProductID" w:val="1950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1950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давала свыше 9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льноволокна.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К середине 1960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в льноводство все более активно внедряется техника. В результате повышения закупочных цен на сельскохозяйственные продукты некоторые колхозы и совхозы получили выигрыш. Так, хозяйства Псковской области приобрели 800 льноуборочных машин. В </w:t>
      </w:r>
      <w:smartTag w:uri="urn:schemas-microsoft-com:office:smarttags" w:element="metricconverter">
        <w:smartTagPr>
          <w:attr w:name="ProductID" w:val="196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1965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Псковская область перевыполнила план по продаже государству льноволокна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27,6 тыс. т при плане 24 тыс. т и льносемян -15 тыс. т при плане 10 тыс. т. Выполнили план государства по продаже всех видов сельскохозяйственной продукции Новгородская область, Смоленская область.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Кооперация к заготовкам льна давно уже не привлекалась. Да, собственно, сельскохозяйственная кооперация исчезла еще в начале 1930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Потребительская оставалась, но льном она не занималась. Отсутствие заготовительной организации, подобной кооперации прошлого (но, естественно, не только это) не стимулировало хозяйства к выращиванию льна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Отсюда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равнодушие и бесхозяйственное отношение.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Из совхоза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К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руглыжский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Свеченского района Кировской области механизатор 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С.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Буранов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 </w:t>
      </w:r>
      <w:smartTag w:uri="urn:schemas-microsoft-com:office:smarttags" w:element="metricconverter">
        <w:smartTagPr>
          <w:attr w:name="ProductID" w:val="1965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1965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писал в газету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С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ельская жизнь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: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В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о всех бригадах осталось много неубранного льна. Но его посев, выращивание и уборку затрачены большие суммы средств, а фактически он остался в поле гнить, да еще предстояли затраты: его весной надо будет убрать и сжечь, иначе нельзя обрабатывать площади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В письме рабочих совхоза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Р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едкинский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Конаковского района Калининской области в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С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ельскую жизнь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(</w:t>
      </w:r>
      <w:smartTag w:uri="urn:schemas-microsoft-com:office:smarttags" w:element="metricconverter">
        <w:smartTagPr>
          <w:attr w:name="ProductID" w:val="1970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1970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.) отмечалось: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«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Р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уководители нашего совхоза не смогли вовремя распорядиться уборкой льна, до сих пор большая его часть не только не сдана на завод, а стоит еще не обмолоченной и не заскирдованной. Наш главный агроном утверждает, что это происходит из-за нехватки рабочей силы, Но это не так. Над нашим хозяйством шефствует Редкинский опытный завод. Большую силу выделил завод на помощь совхозу. И в настоящее время (конец декабря) люди с завода работаю в совхозе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…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Лен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богатство совхоза. Он был бы большей прибылью, а в настоящее время от него убытки. Он уже начал преть, приходит в негодность, а весной его будут сжигать, так как это вошло уже в привычку. Ежегодно сжигают урожай с 20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5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»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В результате бесхозяйственного отношения к выращиванию этой культуры, незаинтересованности к ней производителей посевные площади под лен за 1965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989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сократились в 2 раза и составили к концу 1980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лишь 442 тыс. га. В Нечерноземье была сосредоточена практически все площади его посева (9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6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%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). Одновременно уменьшились валовые сборы: за те же годы более чем в 2 раза. В конце 1980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-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х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гг. льносеющие области собрали 119 тыс. т этой культуры. Снижалась и урожайность: с 3,0 ц до 2,7 ц с гектара за 1965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989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 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гг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 Наиболее низкая урожайность фиксировалась в Калужской, Ярославской, Кировской, Горьковской и Смоленской областях и колебалась в пределах 1,6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>2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,5 ц с гектара. Развитие льноводства сдерживалось отсутствием техники для уборки этой трудоемкой культуры. Тяжелый физический ручной труд заменяли льноуборочные комбайны. Но дефицит их был значителен. В </w:t>
      </w:r>
      <w:smartTag w:uri="urn:schemas-microsoft-com:office:smarttags" w:element="metricconverter">
        <w:smartTagPr>
          <w:attr w:name="ProductID" w:val="198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1983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в регионе на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1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тыс. га посевов льна приходилось 0,02 льноуборочных комбайнов. Иначе говоря, один комбайн обслуживал уборку на площади в </w:t>
      </w:r>
      <w:smartTag w:uri="urn:schemas-microsoft-com:office:smarttags" w:element="metricconverter">
        <w:smartTagPr>
          <w:attr w:name="ProductID" w:val="52 га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52 га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После революции резко снизился экспорт льна. Если в </w:t>
      </w:r>
      <w:smartTag w:uri="urn:schemas-microsoft-com:office:smarttags" w:element="metricconverter">
        <w:smartTagPr>
          <w:attr w:name="ProductID" w:val="1913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1913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его вывоз составлял 272 тыс. т. (всеми заготовительными организациями), то в </w:t>
      </w:r>
      <w:smartTag w:uri="urn:schemas-microsoft-com:office:smarttags" w:element="metricconverter">
        <w:smartTagPr>
          <w:attr w:name="ProductID" w:val="1938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1938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только 16,0 тыс. т, в </w:t>
      </w:r>
      <w:smartTag w:uri="urn:schemas-microsoft-com:office:smarttags" w:element="metricconverter">
        <w:smartTagPr>
          <w:attr w:name="ProductID" w:val="1950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1950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5,6 тыс. т, в </w:t>
      </w:r>
      <w:smartTag w:uri="urn:schemas-microsoft-com:office:smarttags" w:element="metricconverter">
        <w:smartTagPr>
          <w:attr w:name="ProductID" w:val="1969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1969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8,3 тыс., в </w:t>
      </w:r>
      <w:smartTag w:uri="urn:schemas-microsoft-com:office:smarttags" w:element="metricconverter">
        <w:smartTagPr>
          <w:attr w:name="ProductID" w:val="1970 г"/>
        </w:smartTagPr>
        <w:r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1970</w:t>
        </w:r>
        <w:r w:rsidR="00C41C0F">
          <w:rPr>
            <w:rStyle w:val="FontStyle12"/>
            <w:rFonts w:ascii="Times New Roman" w:hAnsi="Times New Roman" w:cs="Times New Roman"/>
            <w:color w:val="000000"/>
            <w:sz w:val="28"/>
          </w:rPr>
          <w:t> </w:t>
        </w:r>
        <w:r w:rsidR="00C41C0F" w:rsidRPr="00C41C0F">
          <w:rPr>
            <w:rStyle w:val="FontStyle12"/>
            <w:rFonts w:ascii="Times New Roman" w:hAnsi="Times New Roman" w:cs="Times New Roman"/>
            <w:color w:val="000000"/>
            <w:sz w:val="28"/>
          </w:rPr>
          <w:t>г</w:t>
        </w:r>
      </w:smartTag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. </w:t>
      </w:r>
      <w:r w:rsidR="00C41C0F">
        <w:rPr>
          <w:rStyle w:val="FontStyle12"/>
          <w:rFonts w:ascii="Times New Roman" w:hAnsi="Times New Roman" w:cs="Times New Roman"/>
          <w:color w:val="000000"/>
          <w:sz w:val="28"/>
        </w:rPr>
        <w:t>–</w:t>
      </w:r>
      <w:r w:rsidR="00C41C0F"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9,3 тыс. т</w:t>
      </w:r>
      <w:r w:rsidR="00661CEA" w:rsidRPr="00C41C0F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 xml:space="preserve"> В последующих статистических справочниках экспорт льна не значится (как, впрочем, и общие данные по вывозу).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Ныне говорить о каких-то видах на будущее экспорта нашего льна преждевременно. Это будет зависеть от восстановления нормального сельскохозяйственного производства. А судьба сельского хозяйства определяется судьбой самой России. Ее же судьба пока в тумане, И никто не в состоянии ее предугадать. И все же рискнем высказать некоторые предположения. Независимо от того, каков в будущем будет земельный строй России, какими окажутся формы хозяйствования, вероятно, возможно следующее.</w:t>
      </w:r>
    </w:p>
    <w:p w:rsidR="00D44D6B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Фермеру, если таковой закрепится, как предпринимателю, лен невыгоден. Он слишком трудоемок. И при нынешней технической и технологической оснащенности единоличному фермеру, особенно в период становления его хозяйства, более выгодны менее трудоемкие культуры.</w:t>
      </w:r>
    </w:p>
    <w:p w:rsidR="00661CEA" w:rsidRPr="00C41C0F" w:rsidRDefault="00D44D6B" w:rsidP="00C41C0F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C41C0F">
        <w:rPr>
          <w:rStyle w:val="FontStyle12"/>
          <w:rFonts w:ascii="Times New Roman" w:hAnsi="Times New Roman" w:cs="Times New Roman"/>
          <w:color w:val="000000"/>
          <w:sz w:val="28"/>
        </w:rPr>
        <w:t>Старый русский крестьянин брался за лен только потому, что ему больше ничего не оставалось. Это была его судьба. Лен лучше, чем что-либо, произрастал на полях Нечерноземья. А что касается трудовых затрат, то семейное трудовое хозяйство работает по иным законам, нежели капиталистическое предприятие, преследующее выгоду и только выгоду. Лишь колхозы (либо какие-то иные крупные объединения) с помощью применения техники, удобрений и единой прогрессивной технологии в широком масштабе могли бы скорректировать интерес работников по льну. Но более вероятным представляется, в первую очередь, массовый переход (любой формы) к сеянию трав (для себя и для продажи) и разведению на этой основе мясомолочного животноводства.</w:t>
      </w:r>
      <w:bookmarkStart w:id="0" w:name="_GoBack"/>
      <w:bookmarkEnd w:id="0"/>
    </w:p>
    <w:sectPr w:rsidR="00661CEA" w:rsidRPr="00C41C0F" w:rsidSect="00C41C0F">
      <w:pgSz w:w="11909" w:h="16834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DA" w:rsidRDefault="00E062DA">
      <w:r>
        <w:separator/>
      </w:r>
    </w:p>
  </w:endnote>
  <w:endnote w:type="continuationSeparator" w:id="0">
    <w:p w:rsidR="00E062DA" w:rsidRDefault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DA" w:rsidRDefault="00E062DA">
      <w:r>
        <w:separator/>
      </w:r>
    </w:p>
  </w:footnote>
  <w:footnote w:type="continuationSeparator" w:id="0">
    <w:p w:rsidR="00E062DA" w:rsidRDefault="00E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CEA"/>
    <w:rsid w:val="00257255"/>
    <w:rsid w:val="002A0C6B"/>
    <w:rsid w:val="005E28B4"/>
    <w:rsid w:val="00661CEA"/>
    <w:rsid w:val="00B0329F"/>
    <w:rsid w:val="00C41C0F"/>
    <w:rsid w:val="00CB5851"/>
    <w:rsid w:val="00D44D6B"/>
    <w:rsid w:val="00D9655A"/>
    <w:rsid w:val="00DC2AC5"/>
    <w:rsid w:val="00E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uiPriority w:val="9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uiPriority w:val="99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14">
    <w:name w:val="Font Style14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5">
    <w:name w:val="Font Style15"/>
    <w:uiPriority w:val="99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-30"/>
      <w:sz w:val="32"/>
      <w:szCs w:val="32"/>
    </w:rPr>
  </w:style>
  <w:style w:type="character" w:customStyle="1" w:styleId="FontStyle17">
    <w:name w:val="Font Style17"/>
    <w:uiPriority w:val="99"/>
    <w:rPr>
      <w:rFonts w:ascii="Bookman Old Style" w:hAnsi="Bookman Old Style" w:cs="Bookman Old Style"/>
      <w:b/>
      <w:bCs/>
      <w:sz w:val="30"/>
      <w:szCs w:val="30"/>
    </w:rPr>
  </w:style>
  <w:style w:type="character" w:customStyle="1" w:styleId="FontStyle18">
    <w:name w:val="Font Style18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19">
    <w:name w:val="Font Style19"/>
    <w:uiPriority w:val="99"/>
    <w:rPr>
      <w:rFonts w:ascii="Bookman Old Style" w:hAnsi="Bookman Old Style" w:cs="Bookman Old Style"/>
      <w:b/>
      <w:bCs/>
      <w:w w:val="30"/>
      <w:sz w:val="10"/>
      <w:szCs w:val="10"/>
    </w:rPr>
  </w:style>
  <w:style w:type="character" w:styleId="a3">
    <w:name w:val="Hyperlink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Льноводство и русская кооперация</vt:lpstr>
    </vt:vector>
  </TitlesOfParts>
  <Company/>
  <LinksUpToDate>false</LinksUpToDate>
  <CharactersWithSpaces>25947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Льноводство и русская кооперация</dc:title>
  <dc:subject> </dc:subject>
  <dc:creator/>
  <cp:keywords> </cp:keywords>
  <dc:description/>
  <cp:lastModifiedBy/>
  <cp:revision>1</cp:revision>
  <dcterms:created xsi:type="dcterms:W3CDTF">2014-03-07T19:52:00Z</dcterms:created>
  <dcterms:modified xsi:type="dcterms:W3CDTF">2014-03-07T19:52:00Z</dcterms:modified>
</cp:coreProperties>
</file>