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00" w:rsidRDefault="00B95E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Манифест метапознания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перевод канонического текста «Правил Стратегии Обучения» метапознания — особенной формы образования, в процессе которого ученик не усваивает лишь сухие цифры и факты, а целостно развивается как личность в течение всего образовательного процесса.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редактора: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1976 году Джон Флейвел (John Flavell) ввел термин «метапознание» (metacognition) — способность анализировать собственные мыслительные стратегии и управлять своей познавательной деятельностью. Этот термин также обозначает особенную форму образования, в процессе которого ученик не усваивает лишь сухие цифры и факты, а целостно развивается как личность в течение всего образовательного процесса.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мы представляем вам русский перевод канонического текста «Правил Стратегии Обучения», разработанный специалистами американского университета Св. Томаса</w:t>
      </w:r>
      <w:r>
        <w:rPr>
          <w:color w:val="000000"/>
          <w:sz w:val="24"/>
          <w:szCs w:val="24"/>
          <w:lang w:val="en-US"/>
        </w:rPr>
        <w:t xml:space="preserve"> (University of St. Thomas (UST), St. Рaul, Minnesota). </w:t>
      </w:r>
      <w:r>
        <w:rPr>
          <w:color w:val="000000"/>
          <w:sz w:val="24"/>
          <w:szCs w:val="24"/>
        </w:rPr>
        <w:t xml:space="preserve">Его сокращенная версия давно гуляет по Интернету без какого-либо указания на авторство. Этой публикацией полного текста методики с указанием источника и авторов мы выражаем свою признательность ее создателям и надеемся, что эта работа перестанет значится в Рунете под заголовком «Автор Неизвестен».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современного расширенного варианта методики метапознания в </w:t>
      </w:r>
      <w:r w:rsidRPr="00444CDE">
        <w:rPr>
          <w:color w:val="000000"/>
          <w:sz w:val="24"/>
          <w:szCs w:val="24"/>
        </w:rPr>
        <w:t xml:space="preserve">дистанционном образовании проекта Элитариум </w:t>
      </w:r>
      <w:r>
        <w:rPr>
          <w:color w:val="000000"/>
          <w:sz w:val="24"/>
          <w:szCs w:val="24"/>
        </w:rPr>
        <w:t xml:space="preserve">позволяет нашим ученикам достигать </w:t>
      </w:r>
      <w:r w:rsidRPr="00444CDE">
        <w:rPr>
          <w:color w:val="000000"/>
          <w:sz w:val="24"/>
          <w:szCs w:val="24"/>
        </w:rPr>
        <w:t>исключительно высоких результатов</w:t>
      </w:r>
      <w:r>
        <w:rPr>
          <w:color w:val="000000"/>
          <w:sz w:val="24"/>
          <w:szCs w:val="24"/>
        </w:rPr>
        <w:t xml:space="preserve"> в профессиональной и личной жизни. </w:t>
      </w:r>
    </w:p>
    <w:p w:rsidR="00B95E00" w:rsidRDefault="00B95E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метапознания: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При изучении материала ищи смысл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наиболее эффективного использования памяти обучающийся должен активно выделять смысловую сторону того материала, который он изучает. Так еще, обучающийся должен не только пассивно кодировать поступающую информацию, но и активно искать сложные связи в материале и переструктуировать его.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Используй стратегии минимизирующие объем запоминаемого материала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Повторное воспроизведение только того материала, который нужно запомнить (без избыточных данных по каналу приема информации). Укрупнение единиц информации.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Изучай, изучай, изучай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предела глубине изучения информации.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Избегай отвлечения на посторонние детали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материале есть сообщения подробностей не относящиеся прямо к делу, то трудно определить, что является главным, а что второстепенным. Очень эффективно анализировать краткое содержание темы.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Отводи время для свободного воспроизведения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произошел сбой при вспоминании, следует просмотреть ассоциативные связи, мысленно проанализировав, какие факты могли иметь отношение к искомому следу в памяти (Где я был? Какой это был день недели? Кто мне это сказал? и т.д.).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Используй краткое содержание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вы анализируете краткое содержание, думайте, что в нем отражено и что опущено. На основе этого анализа попытайтесь сформулировать вопросы, которые помогут вам при чтении текста.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Используй метод повторного цитирования (для самопроверки)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Повторно цитируйте как можно большее число фактов из того материала, который вы только что прочитали.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Делай перерывы в тренировке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14 часов тренировки растянуть на неделю (7 дн. по 2 часа), то овладение навыком будет более глубоким, чем 14 часов тренировки в один день. В один день рекомендуется 2 часа тратить на один предмет, следующие 2 часа на другой и т.д.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Начинай обучение по частям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Интенсивно изучать и повторять на практике 1 или 2 составляющие навыка, после чего еще 1 или 2 составляющие. Это лучше, чем сначала теоретически изучать все методы, потом практиковаться, а уж затем переходить к смешанному способу научения.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Тщательно изучи составляющие навыка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Тщательно отработать основы (освоение простейших приемов) и только потом пытаться, например, писать сложные программы со многими функциями. Полезно возвращаться к основам навыка даже профессионалам.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Ищи хорошие модели с теми же чертами, что и нужный навык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изучение программ, написанных хорошими программистами, для освоения методики и стиля программирования.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Ищи способы узнать результаты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Обратная связь должна обеспечивать обучающемуся немедленную информацию о результатах, пока еще свежи в памяти контекст и подход к решению данной задачи.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Концентрируй внимание на изучаемом материале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Избегайте помех процессам научения (радио, телевидение).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Расслабься и создай хорошее настроение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Поддерживайте хорошее настроение с помощью вызова представлений, имеющих положительную окраску.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Выдели задачи в изучаемой области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Сложные цели инструктирования могут быть разбиты на множество более простых и понятных целенаправленных действий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Научение по текстам: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Обеспечь предварительный анализ, основной анализ и проверку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краткому содержанию и проверочным заданиям.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Обеспечь стратегию заучивания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курса лучше потратить 2 дня на изучение различных методик запоминания (мнемонические приемы, способ SQ3R (подробнее см. в конце текста — ред.), методика составления сеток и т.д.).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задач и овладение сложными навыками: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Выяви положительные и отрицательные примеры понятия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Заблаговременное рассмотрение имеющихся противоречий может служить средством преодоления нежелания отыскивать и принимать к сведению те данные, которые противоречат рабочей гипотезе.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Определи структуру целей для данной задачи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Заблаговременное рассмотрение имеющихся противоречий может служить средством преодоления нежелания отыскивать и принимать к сведению те данные, которые противоречат рабочей гипотезе.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Сформируй последовательные приближения к достижению целей деятельности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Преподаватель должен распознать и принять частично правильные решения.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 ранней стадии решения трудной задачи или при овладении навыком требуется помощь и советы обучающемуся, но по мере того, как он приобретает опыт, советов требуется все меньше и меньше.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Минимизируй нагрузку рабочей памяти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Использование стратегии решения задач, требующие минимального обьема рабочей памяти.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Обеспечение вспомогательными внешними средствами, например, дисплей в компьютерной системе обучения, окна с коментариями, показ сложных отношений графическими средствами.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Постепенное введение новых задач — одна задача на овладение одного определенного навыка.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Поддерживай интерес к задаче научения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быстро достигаемых целей, использование непосредственной обратной связи, адаптация трудности задачи к уровню пользователя, повышение мотивации (графика, движение, звук, очки).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Обеспечивай немедленное поступление сигналов об ошибках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учащийся сделал ошибку и не знает этого, то в его памяти увеличивается вес той процедуры, которая привела к ошибке.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25. Поддерживай состояние активного участия в обучении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чаще вводить тесты в занятия.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Обеспечивай контекст для инструкции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Полезно отрабатывать отдельные компоненты навыка в таких условиях, которые имеют общие черты с контекстом реальной задачи.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 Поощряй использование универсальных процедур решения задачи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дают лучшие результаты, чем использование методов аналогий при решении задач. (Аналог задачи — аналогичный метод решения).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28. Рассматривай задачу научения как задачу формирования правил решения задач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(Продукционные правила «если — то»). Переноси навыки решения конкретной задачи на решение разнообразных задач.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29. Избегай изменения требований в процессе научения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Неизменные правила описаний соответствий между стимулом и реакцией приводит к быстрому овладению навыкам до степени автоматизма.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30. Максимально используй пробы, особенно важные для навыка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там, где события, на которые надо реагировать, вызывают последствия с большой временной задержкой. Можно искусственно повышать частоту событий, но осторожно, так как может снизиться эффективность работы в реальных условиях.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31. Достигай высокого качества операций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самых различных условиях, которые могут дублировать реальные условия.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32. Перемежай составляющие при тренировке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лучше, чем строго последовательная отработа отдельных составляющих.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33. Тренировку проводи со скоростью, требующей умеренного напряжения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забывая развивать способность быстро реагировать в необходимых ситуациях.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34. Организуй обучение навыку с разделением времени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реальности работа так же будет проводиться с разделением времени.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Настройка источника знаний под себя: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35. Рассмотри компромисы между требованиями, предьявляемыми научением, и возможностями деятельности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Другими словами, системы, на которых легко учиться не дают впоследствии возможности эффективно работать на реальных сложных системах. И наоборот, на сложных обучающих системах можно вообще не научиться.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36. Рассмотри, какие задачи будет решать система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как, кем, когда, какие ограничения и для решения каких задач будет использоваться система (сроки обучения, контингент и пр.).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37. Определи, имеются ли другие способы решения задачи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новичка — максимально использовать наводящие подсказки. Для професионала это может привести к снижению эффективности. 38. Допускай исправление ошибок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Желательно возвращать систему в прежнее состояние после одной или нескольких ошибок.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39. Используй цвет и графические средства для выделения изменяющейся информации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при этом должны быть отличия от выделения особо важной информации (предупреждения, сигналы тревоги и пр.).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40. Освобождай монитор от несущественной информации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Предоставляя только ту информацию, которая важна для цели обучения или работы самой системы.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41. Избегай подачи информации в абстрактной форме, используй конкретные данные (желательно в наглядной форме)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легче запоминается, так как имеет больше отличительных признаков.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42. Избегай сложных процедурных инструкций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Список процедур должен в недвусмысленной форме определить, что именно делать оператору. Сложные рекомендации могут тормозить овладение навыком.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43. Создай условия для тренировки и тестирования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если человек достиг высокого уровня владения некоторым навыком, он должен практиковаться для того, чтобы поддерживать этот уровень. </w:t>
      </w:r>
    </w:p>
    <w:p w:rsidR="00B95E00" w:rsidRDefault="00B95E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* *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Материал лучше заучивается тогда, когда человек старается активно связать разные стимулы в какое-то осмысленное целое, т.е. если входная информация активно обрабатывается.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Для того, чтобы вспомнить то, что заучивалось при определенном настроении, полезно воспроизвести такое же настроение. </w:t>
      </w:r>
    </w:p>
    <w:p w:rsidR="00B95E00" w:rsidRDefault="00B95E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* *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аналогий на начальном этапе обучения: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аналогия должна применяться в той области, в которой студент уже приобрел достаточные знания;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области цели и источника должны отличаться как можно меньшим числом размерностей для понимания природы сходства этих обьектов;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операции, естественные в области цели, должны быть так же естественны в области источника;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неподходящие операции должны быть таковыми как в области цели, так и источника, чтобы уменьшить применение неподходящих операций или ложных признаков по аналогии.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Компиляция знаний наступает после первоначального этапа решения задачи на основе только что полученных декларативных знаний. Конкретная задача решается с помощью вызова из памяти уже заученных процедур, а не путем применения фактических знаний: обучаемый распознает ситуацию, а не ищет в памяти возможные способы ответа на каждую конкретную ситуацию. </w:t>
      </w:r>
    </w:p>
    <w:p w:rsidR="00B95E00" w:rsidRDefault="00B95E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Примечание научного редактора: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SQ3R (по-английски расшифровывается как «survey, question, read, recite, review», т.е. «обзор, вопрос, чтение, пересказ, повторение») — известная методика обучения с элементами метапознания: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шаг — обзор материала: просмотр заголовков и беглое чтение, чтобы представить общее содержание.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шаг — к каждой теме (заголовку) сформулировать по одному вопросу.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шаг — читать текст, и по ходу чтения пытаться найти ответы на поставленные вопросы.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Четвертый шаг — ответить на эти вопросы. </w:t>
      </w:r>
    </w:p>
    <w:p w:rsidR="00B95E00" w:rsidRDefault="00B95E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Пятый, заключительный, шаг — повторить материал (останавливаясь подробно на трудных местах). </w:t>
      </w:r>
    </w:p>
    <w:p w:rsidR="00B95E00" w:rsidRDefault="00B95E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5E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CDE"/>
    <w:rsid w:val="00444CDE"/>
    <w:rsid w:val="00B95E00"/>
    <w:rsid w:val="00BF6559"/>
    <w:rsid w:val="00D1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B6ED9D-CE3D-4941-AB41-6415931D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7477</Words>
  <Characters>4263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Манифест метапознания</vt:lpstr>
    </vt:vector>
  </TitlesOfParts>
  <Company>PERSONAL COMPUTERS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Манифест метапознания</dc:title>
  <dc:subject/>
  <dc:creator>USER</dc:creator>
  <cp:keywords/>
  <dc:description/>
  <cp:lastModifiedBy>admin</cp:lastModifiedBy>
  <cp:revision>2</cp:revision>
  <dcterms:created xsi:type="dcterms:W3CDTF">2014-01-26T13:41:00Z</dcterms:created>
  <dcterms:modified xsi:type="dcterms:W3CDTF">2014-01-26T13:41:00Z</dcterms:modified>
</cp:coreProperties>
</file>