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BD" w:rsidRDefault="00A0078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Математическое моделирование и оптимизация элементов тепловой схемы энерготехнологического блока</w:t>
      </w:r>
    </w:p>
    <w:p w:rsidR="004367BD" w:rsidRDefault="00A007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курсу математического моделирования выполнил студент: Ильиных А.А.</w:t>
      </w:r>
    </w:p>
    <w:p w:rsidR="004367BD" w:rsidRDefault="00A007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Новосибирский Государственный Технический Университет</w:t>
      </w:r>
    </w:p>
    <w:p w:rsidR="004367BD" w:rsidRDefault="00A007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ТЭС</w:t>
      </w:r>
    </w:p>
    <w:p w:rsidR="004367BD" w:rsidRDefault="00A007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Новосибирск-2002</w:t>
      </w:r>
    </w:p>
    <w:p w:rsidR="004367BD" w:rsidRDefault="00A007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оптимизации развития КАТЭКА при использовании в ЭС энерготехнологических блоков.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Рассматриваются две группы задач. Первая связана с определением технико-экономических характеристик энерготехнологических блоков, расходов материальных затрат, экологического воздействия, параметров схем, конструктивных решений. Вторая группа задач связана с определением перспективных типов энерготехнологических блоков и рациональных масштабов их применения в развивающемся топливно-энегретическом комплексе и предполагает изучение эффективности использования перспективных энерготехнологических блоков при различных системных факторах. Так как энерготехнологические блоки являются многоцелевыми, имеют сложную структуру, то затруднительно обеспечить сопоставимость альтернативных вариантов по выходу энергопродуктов и расходу ресурсов. Использование при оценке энерготехнологических блоков замыкающих затрат на энергопродукты и ресурсы может привести к большим погрешностям, так в зависимости от масштабов внедрения отдельных перспективных энерготехнологических блоков замыкающие затраты могут существенно измениться. Поэтому для измерения полных затрат и результатов, связанных с реализацией конкретных энерготехнологических блоков, и для выявления системных факторов на эффективность этих энергоблоков целесообразно применение моделей, содержащих балансы распределения ресурсов и энергопродуктов и отражающих производственные и экономические связи энерготехнологических блоков.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этих вопросов для КАТЭКа требует рассмотрение технико-экономических связей трех уровней.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верхнем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рассматриваются связи КАТЭКа с другими отраслями народного хозяйства, учитывающие потребление ограниченных народнохозяйственных ресурсов, связи со смежными отраслями, потребителями энергопродуктов.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среднем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рассматривается цепочка производственных связей КАТЭКа с детализацией типов энерготехнологических блоков и ассортимента конечных энергопродуктов, вопросов качества и взаимозаменяемости энергопродуктов.</w:t>
      </w:r>
      <w:r>
        <w:rPr>
          <w:noProof/>
          <w:color w:val="000000"/>
        </w:rPr>
        <w:t xml:space="preserve">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нижнем уровне рассматриваются внутрирайонные связи КАТЭКа с другими объектами хозяйства по использованию природных и трудовых ресурсов, услуг производственной и социально-бытовой инфраструктуры и строительной базы, по выполнению экологических условий.</w:t>
      </w:r>
      <w:r>
        <w:rPr>
          <w:noProof/>
          <w:color w:val="000000"/>
        </w:rPr>
        <w:t xml:space="preserve">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Схема обмена информацией между моделями предусматривает передачу из моделей верхнего уровня в модели отраслевого уровня заданий по потреблению топлива по отдельным группам потребителей. В результате решения задач отраслевого уровня при выполнении установленных заданий и минимизации суммарных приведенных затрат на добычу, переработку и транспортировку, подготовку и использование топлива определяется рациональная структура производства и потребления различных видов топлива. Эти данные служат входными параметрами для оптимизации развития энергосистемы с энерготехнологическими блоками, в результате чего получается оптимальный набор вариантов развития энергосистемы с этими энергоблоками и формируются первоначальные решения о перспективных типах энерготехнологических блоков. При формировании структуры энергосистемы рассматриваются различные варианты развития и реконструкции функционирующих энергоблоков, а также ввода новых. Формирование вероятных состояний развития энергосистемы осуществляется в виде определенного многофакторного набора параметров, характеризующего исходное состояние и направления развития энергосистемы в зависимости от особенностей и величин электрических и тепловых нагрузок, динамики роста, длительности периода развития, типов существующих и предполагаемых к вводу энергоблоков.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рациональных направлений использования производится по модели баланса котельно-печного топлива страны, разработанной во ВНИИКТЭПе. Объектами планирования приняты отдельные месторождения угля, нефтеперерабатывающие заводы, узлы сети газопроводов (месторождения газа прикрепляются к узлам сети)</w:t>
      </w:r>
      <w:r>
        <w:rPr>
          <w:noProof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пункты производства и добычи прочих видов топлива. Рассматриваются следующие виды энергоресурсов: энергетические угли (каменный рядовой и сортовой, бурый рядовой и сортовой, антрацит и отсевы угля); природный и попутный газ; топочный мазут; прочие виды топлива (торф, сланцы, коксовый газ и др.). Каждая топливная база представляется в виде нескольких способов, отражающих добычу топлива на действующих, реконструируемых, строящихся и предполагаемых к строительству предприятиях. Рассматриваются два вида магистрального транспорта топлива: железнодорожный для углепродуктов и топочного мазута и трубопроводный для газа. Выделяются</w:t>
      </w:r>
      <w:r>
        <w:rPr>
          <w:noProof/>
          <w:color w:val="000000"/>
          <w:sz w:val="24"/>
          <w:szCs w:val="24"/>
        </w:rPr>
        <w:t xml:space="preserve"> 11</w:t>
      </w:r>
      <w:r>
        <w:rPr>
          <w:color w:val="000000"/>
          <w:sz w:val="24"/>
          <w:szCs w:val="24"/>
        </w:rPr>
        <w:t xml:space="preserve"> экономических районов страны (в том числе Восточная Сибирь). Каждый регион представляется как совокупность топливоиспользующих установок. Внутри региона потребители группируются по функциональному признаку: электростанции, котельные, коммунально-бытовые и промышленные установки. Для оценки новых технологий комплексной переработки н использования КАУ в модель были введены дополнительные переменные и ограничения, описывающие условия производства и потребления новых видов углепродуктов. Наряду с плазмотермической газификацией угля в энерготехнологических блоках был рассмотрен ряд перспективных направлений переработки углей: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термооблагораживание с получением термобрикетов для коммунально-бытового хозяйства;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пиролиз (процессы высокоскоростного пиролиза, полукоксования в импульсном псевдоожиженном слое, с конверсией газа, с циклонным реактором, с твердым и газовым теплоносителями);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гидрогенизация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каталитический процесс получения жидкого топлива;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газификация с получением синтез-газа.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оптимизации баланса котельно-печного топлива формулируется следующим образом.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выполнения ограничений по ресурсам (возможности развития добычи и производства) по условиям транспортировки и по потребности и при минимизации приведенных затрат на добычу (производство), переработку, транспортировку и использование топлива определить: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объем добычи (производства) различных энергоресурсов по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отдельным месторождениям (пунктам, нефтеперерабатывающим заводам);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объемы переработки различных видов топлива по отдельным пунктам, в том числе по установкам с новыми технологиями использования КАУ;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>Распределение энергоресурсов между отдельными экономическими районами с предварительным распределением их внутри районов между основными категориями потребителей;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Объемы и направления перевозок различных видов топлива магистральным железнодорожным транспортом, газопроводами;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5)</w:t>
      </w:r>
      <w:r>
        <w:rPr>
          <w:color w:val="000000"/>
          <w:sz w:val="24"/>
          <w:szCs w:val="24"/>
        </w:rPr>
        <w:t xml:space="preserve"> рациональные виды топлива для тепловых электростанций и котельных, работающих на органическом топливе.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Определение потребности в топливно-энергетических ресурсах проводятся по четырем энергоносителям: электроэнергии, теплоте, котельно-печному и моторному топливам. При определении потребностей топлива на ТЭС учитывается: потребность народного хозяйства в электроэнергии и теплоте; уровень развития атомной и гидроэнергетики; уровень развития источников теплоснабжения; технико-экономические показатели (режимы работы, удельный расход топлива) установленного на ТЭС оборудования; ограничения по использованию на ТЭС различных видов топливно-энергетических ресурсов сравнительная экономическая эффективность различных видов топлива для конкретных электростанций.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Рассматривались: персонально каждая электростанция мощностью более</w:t>
      </w:r>
      <w:r>
        <w:rPr>
          <w:noProof/>
          <w:color w:val="000000"/>
          <w:sz w:val="24"/>
          <w:szCs w:val="24"/>
        </w:rPr>
        <w:t xml:space="preserve"> 10</w:t>
      </w:r>
      <w:r>
        <w:rPr>
          <w:color w:val="000000"/>
          <w:sz w:val="24"/>
          <w:szCs w:val="24"/>
        </w:rPr>
        <w:t xml:space="preserve"> МВт; топливоиспользующее оборудование; степень освоения установленной мощности и достижения проектных показателей; влияние разных видов топлива на суммарный удельный их расход; режимы использования установленной мощности.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Учитывалось, что промышленные и районные котельные выступают как замыкающий поставщик теплоты в народном хозяйстве. Это означает, что после определения потребности в теплоте на перспективу по стране в целом и в разрезе экономических районов, покрытие потребности осуществляется сначала за счет ТЭЦ и атомных котельных. И только недостающая часть покрывается за счет котельных на органическом топливе.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определении перспективных уровней потребности котельных в котельно-печном топливе проводилась группировка промышленных и отопительных котельных по паропроизводительности, видам используемого топлива и по типу используемого оборудования;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Рассматривались раздельно нормы расхода топлива для групп котельных по паропроизводительности.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потребности в котельно-печном топливе на производственные нужды сельского хозяйства производится по отдельным видам потребителей. При расчетах потребности в топливе коммунально-бытового хозяйства учтены обобщенный и частновладельческий жилой фонд, коммунально-бытовые предприятия, общественные здания и учреждения, которые не входят в группы централизованного теплоснабжения. Отдельно рассматривалась группа промышленных предприятий. В расчетах учтены также запасы топливно-энеретических ресурсов для бесперебойного топливоснабжения народного хозяйства.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Сделав прогноз потребности в топливно-энергетических ресурсах( в территориальном разрезе, по направлениям расхода, энергоносителям и первичным энергоресурсам) и сопоставив его с показателями производства топливно-энергетических ресурсов в рамках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топливно-энергетического баланса, в случае необходимости, предполагается вернуться к первому шагу расчетов и уточнить гипотезы развитии и размещении производительных сил страны и объёмах экспорта топливно-энергетических ресурсов.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Практические расчеты направлены не на получение одного хотя и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сбалансированного по многим показателям, решения, а на расчёт различных вариантов, отличающихся как гипотезами развития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народного хозяйства, так и отраслей ТЭК. При этом каждому уровню потребностей в электроэнергии и теплоте (т.е. разным вариантам развития народного хозяйства) соответствует своя структура энергоносителей и своя стратегия развития топливных баз страны.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проведения экспериментальных расчетов заключав разработке такой стратегии развития ЭС КАТЭКа, которая соответствует, с одной стороны, гипотезам развития КАТЭКа, заложенным в модель</w:t>
      </w:r>
      <w:r>
        <w:rPr>
          <w:noProof/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t xml:space="preserve"> а с другой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>структуре энергоносителей развитию народного хозяйства, полученных из модели БКПТ. Следует отметить, что модель БКПТ работает в составе модельного комплекса с оптимизационной межрегиональной межотраслевой моделью (ОМММ), разработанной в ИЭ и ОПП С0 РАН. Набор условий и факторов, отраженных в ОМММ, соответствует следующему кругу вопросов: анализ и технико-экономическая оценка природных ресурсов и условий развития, обоснование хозяйственной специализации и темпов развития производства, оценка экономической эффективности намеченных направлений развития и размещения производственных сил. Так как в модели баланса котельно-печного топлива потребности в топливе по категориям потребителей и регионам являются экзогенными параметрами, то в расчетах по этой модели и по ОМММ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необ</w:t>
      </w:r>
      <w:r>
        <w:rPr>
          <w:color w:val="000000"/>
          <w:sz w:val="24"/>
          <w:szCs w:val="24"/>
        </w:rPr>
        <w:t>ходимо исходить из одинаковых посылок об отраслевой структуре потребителей топлива и о величине потребления топлива по регионам.</w:t>
      </w:r>
    </w:p>
    <w:p w:rsidR="004367BD" w:rsidRDefault="00A00783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color w:val="000000"/>
          <w:sz w:val="24"/>
          <w:szCs w:val="24"/>
        </w:rPr>
        <w:t>Полученные в ОМММ решения используются в модели при формировании для КАТЭКа данных по потреблению электроэнергии и теплоты, газа и угля, среднегодовому</w:t>
      </w:r>
      <w:r>
        <w:rPr>
          <w:noProof/>
          <w:color w:val="000000"/>
          <w:sz w:val="24"/>
          <w:szCs w:val="24"/>
        </w:rPr>
        <w:t xml:space="preserve"> при</w:t>
      </w:r>
      <w:r>
        <w:rPr>
          <w:color w:val="000000"/>
          <w:sz w:val="24"/>
          <w:szCs w:val="24"/>
        </w:rPr>
        <w:t>росту этих показателей и структуре потребителей топлива.</w:t>
      </w:r>
      <w:r>
        <w:rPr>
          <w:noProof/>
          <w:color w:val="000000"/>
        </w:rPr>
        <w:t xml:space="preserve">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Реализована следующая схема информационного обмена.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решения</w:t>
      </w:r>
      <w:r>
        <w:rPr>
          <w:noProof/>
          <w:color w:val="000000"/>
          <w:sz w:val="24"/>
          <w:szCs w:val="24"/>
        </w:rPr>
        <w:t xml:space="preserve"> 1-й</w:t>
      </w:r>
      <w:r>
        <w:rPr>
          <w:color w:val="000000"/>
          <w:sz w:val="24"/>
          <w:szCs w:val="24"/>
        </w:rPr>
        <w:t xml:space="preserve"> группы задач задается (с учетом экологических ограничений) количество энергоблоков того или</w:t>
      </w:r>
      <w:r>
        <w:rPr>
          <w:noProof/>
          <w:color w:val="000000"/>
          <w:sz w:val="24"/>
          <w:szCs w:val="24"/>
        </w:rPr>
        <w:t xml:space="preserve"> ино</w:t>
      </w:r>
      <w:r>
        <w:rPr>
          <w:color w:val="000000"/>
          <w:sz w:val="24"/>
          <w:szCs w:val="24"/>
        </w:rPr>
        <w:t>го типа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и приведенные удельные затраты по типам энергоблоков и новым технологиям использования КАУ в модели баланса котельно-печного топлива (БКПТ)</w:t>
      </w:r>
      <w:r>
        <w:rPr>
          <w:noProof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Затем решается задача БКПТ и уточняются типы энергоблоков, в том числе и с новыми технологиями использования угля, соответствующие объемы потребления КАУ и среднегодовые темпы потребления энергопродуктов в моделях</w:t>
      </w:r>
      <w:r>
        <w:rPr>
          <w:noProof/>
          <w:color w:val="000000"/>
          <w:sz w:val="24"/>
          <w:szCs w:val="24"/>
        </w:rPr>
        <w:t xml:space="preserve"> 1-й</w:t>
      </w:r>
      <w:r>
        <w:rPr>
          <w:color w:val="000000"/>
          <w:sz w:val="24"/>
          <w:szCs w:val="24"/>
        </w:rPr>
        <w:t xml:space="preserve"> группы задач.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Математически это означает, что возможны последовательные отображения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свою очередь, можно установить обратную связь от модели БКПТ к задачам</w:t>
      </w:r>
      <w:r>
        <w:rPr>
          <w:noProof/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-и группы, используя решение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для уточнения типов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энергоблоков, в том числе энерготехнологических блоков и среднегодовых темпов потребления энергопродуктов. На основе этой информации при решении задач</w:t>
      </w:r>
      <w:r>
        <w:rPr>
          <w:noProof/>
          <w:color w:val="000000"/>
          <w:sz w:val="24"/>
          <w:szCs w:val="24"/>
        </w:rPr>
        <w:t xml:space="preserve"> 1-й</w:t>
      </w:r>
      <w:r>
        <w:rPr>
          <w:color w:val="000000"/>
          <w:sz w:val="24"/>
          <w:szCs w:val="24"/>
        </w:rPr>
        <w:t xml:space="preserve"> группы получается новое решение</w:t>
      </w:r>
      <w:r>
        <w:rPr>
          <w:noProof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уточненное с позиции народнохозяйственных интересов.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модели разных уровней будут согласованными.</w:t>
      </w:r>
    </w:p>
    <w:p w:rsidR="004367BD" w:rsidRDefault="00A007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Технико-экономический анализ и комплексная оптимизация паротурбинных энерготехнологических блоков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Обоснованный выбор схемы и параметров паротурбинных энерготехнологических блоков с плазменной газификацией КАУ имеет большое значение в плане крупномасштабного внедрения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энерготехнологий на ТЭС КАТЭКа.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'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наиболее важных факторов, влияющих на выбор схемы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и параметров ППТУ, относятся: стоимость КАУ, условия использования в энергосистеме КАТЭКа, условия водоснабжения электростанций, экологические условия. По сравнению с топливом для районов европейской части страны КАУ дешевле, что будет снижать роль экономии топлива и повышать роль экономии капиталовложений и эксплуатационных затрат на энергооборудование. Для будущей эксплуатации энерготехнологического блока в режиме с высоким числом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часов использования номинальной мощности</w:t>
      </w:r>
      <w:r>
        <w:rPr>
          <w:noProof/>
          <w:color w:val="000000"/>
          <w:sz w:val="24"/>
          <w:szCs w:val="24"/>
        </w:rPr>
        <w:t xml:space="preserve"> (6500...7000ч/год) мо</w:t>
      </w:r>
      <w:r>
        <w:rPr>
          <w:color w:val="000000"/>
          <w:sz w:val="24"/>
          <w:szCs w:val="24"/>
        </w:rPr>
        <w:t>жет быть рассмотрена целесообразность участия в покрытии переменной части графика нагрузки и изменении номинальной мощности 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диапазоне</w:t>
      </w:r>
      <w:r>
        <w:rPr>
          <w:noProof/>
          <w:color w:val="000000"/>
          <w:sz w:val="24"/>
          <w:szCs w:val="24"/>
        </w:rPr>
        <w:t xml:space="preserve"> 0,7...1,1.</w:t>
      </w:r>
      <w:r>
        <w:rPr>
          <w:color w:val="000000"/>
          <w:sz w:val="24"/>
          <w:szCs w:val="24"/>
        </w:rPr>
        <w:t xml:space="preserve"> Высокая будущая экологическая напряженность КАТЭКа ставит вопросы об энергетической и экономической устойчивости оптимальных решений при изменении ПДВ. Важное значение при определении оптимальных параметров и профиля оборудования ППТУ имеет обоснованный выбор уровня его единичной мощности.</w:t>
      </w:r>
      <w:r>
        <w:rPr>
          <w:color w:val="000000"/>
        </w:rPr>
        <w:t xml:space="preserve">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влияния указанных факторов на параметры и профиль ППТУ осуществляется с использованием ЕС ЭВМ и системы математических моделей, имитирующих функционирование энерготехнологических блоков. Проведено несколько серий расчетов на ЕС ЭВМ, которые отличаются по дискретным признакам типов и схем энерготехнологических блоков (с плазмопаровой и плазмокислородной газификацией, с плазмотермической газификацией, с внутрицикловой плазмопаровой газификацией) и альтернативных угольных энергоблоков (с прямым сжиганием КАУ и с предварительной термической подготовкой его перед сжиганием, энергоблоков с плазменной подсветкой при</w:t>
      </w:r>
      <w:r>
        <w:rPr>
          <w:noProof/>
          <w:color w:val="000000"/>
          <w:sz w:val="24"/>
          <w:szCs w:val="24"/>
        </w:rPr>
        <w:t xml:space="preserve"> сжигании </w:t>
      </w:r>
      <w:r>
        <w:rPr>
          <w:color w:val="000000"/>
          <w:sz w:val="24"/>
          <w:szCs w:val="24"/>
        </w:rPr>
        <w:t>КАУ).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серия расчетов включает: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-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>вариантные расчеты при заранее заданных сочетаниях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значений параметров каждого типа энергоблоков;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вариации значений каждого параметра в технически допустимых пределах при заданных значениях остальных параметров;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-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крмплек</w:t>
      </w:r>
      <w:r>
        <w:rPr>
          <w:color w:val="000000"/>
          <w:sz w:val="24"/>
          <w:szCs w:val="24"/>
        </w:rPr>
        <w:t>сную оптимизацию параметров каждого типа энергоблоков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на основе алгоритма нелинейного программирования;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вариации параметров в зоне их оптимальных значений.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Указанный объем разнохарактерных расчетов позволяет более подробно учесть инженерную специфику сравниваемых вариантов, определить основные закономерности влияния параметров на эффективность энерготехнологического блока и оценить ее снижение для различных отступлений от оптимума по тем или иным инженерным соображениям.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каждого расчетного варианта энерготехнологического блока, т.е. для заданных конструкций, материалов и вида тепловой схемы, совместному выбору подлежали следующие параметры: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начальное температура и давление пара;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температура промежуточного перегрева пара;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температура питательной воды (при оптимально сопряженной температуре уходящих газов парогенератора);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конечное давление пара;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температура реакции (при оптимально сопряженном времени реакции) в реакторе газификации КАУ;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температура термической подготовки газовзвеси КАУ в термической ступени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реактора</w:t>
      </w:r>
      <w:r>
        <w:rPr>
          <w:noProof/>
          <w:color w:val="000000"/>
          <w:sz w:val="24"/>
          <w:szCs w:val="24"/>
        </w:rPr>
        <w:t>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температура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перегрева плазмообразующего пара;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температура сероочистки синтез-газа.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Диаметры труб для пакетов пароперегревателя, экономайзера,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газоподогревателя экранных труб топки реактора, воздухоподогревателя приняты в соответствии со стандартами к результатам расчетов и оптимизации конструктивных параметров реактора. Кроме указанных не</w:t>
      </w:r>
      <w:r>
        <w:rPr>
          <w:noProof/>
          <w:color w:val="000000"/>
          <w:sz w:val="24"/>
          <w:szCs w:val="24"/>
        </w:rPr>
        <w:t>зависимых тер</w:t>
      </w:r>
      <w:r>
        <w:rPr>
          <w:color w:val="000000"/>
          <w:sz w:val="24"/>
          <w:szCs w:val="24"/>
        </w:rPr>
        <w:t xml:space="preserve">модинамическнх параметров, оптимальные значения получают многочисленные термодинамические и расходные зависимые параметры вошедшие в систему балансовых уравнений.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каждого расчетного варианта энерготехнологического блока на ЭВМ выполнены с совместной увязкой: расчет тепловой схемы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и внутреннего относительного КПД турбины; теплобалансовый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и стоимостной расчёты парогенератора, регенеративных подогревателей питательной воды и конденсатора, основных трубопроводов, частей высокого, среднего и низкого давления турбины: расчет мощности и стоимости агрегатов собственных нужд; стоимостные расчеты систем топливоподачи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пылеприготовления, технического водоснабжения, золошлакоудаления удаления: тепловой, гидравлический, аэродинамический и стоимостный расчеты реактора и поверхностей теплообмена реактора.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этой целью использованы после приведения к виду для применения на ЕС ЭВМ, соответствующие разделы нормативного метода расчета котлоагрегатов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и различных теплообменных аппаратов; уравнения для расчета параметров водяного пара</w:t>
      </w:r>
      <w:r>
        <w:rPr>
          <w:noProof/>
          <w:color w:val="000000"/>
          <w:sz w:val="24"/>
          <w:szCs w:val="24"/>
        </w:rPr>
        <w:t xml:space="preserve"> ;</w:t>
      </w:r>
      <w:r>
        <w:rPr>
          <w:color w:val="000000"/>
          <w:sz w:val="24"/>
          <w:szCs w:val="24"/>
        </w:rPr>
        <w:t xml:space="preserve"> методика СПИ расчета внутреннего относительного КПД частей высокого, среднего и низкого давления турбины, материалы РоТЭП, НоТЭП, ЦКТИ и прейскуранты для оценки удельных стоимостных показателей по различным элементам энерготехнологического блока, механизмам собственных нужд, систем водоснабжения, топливного хозяйства и топливоподготовки и шлакоудаления, а также строительной части.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часть расчетов проведена для энерготехнологических паротурбинных энергоблоков</w:t>
      </w:r>
      <w:r>
        <w:rPr>
          <w:noProof/>
          <w:color w:val="000000"/>
          <w:sz w:val="24"/>
          <w:szCs w:val="24"/>
        </w:rPr>
        <w:t xml:space="preserve"> 800</w:t>
      </w:r>
      <w:r>
        <w:rPr>
          <w:color w:val="000000"/>
          <w:sz w:val="24"/>
          <w:szCs w:val="24"/>
        </w:rPr>
        <w:t xml:space="preserve"> МВт при одном промышленном перегреве пара с одновальной турбиной. Варианты турбины и стоимостная оценка приняты по данным ЦКТИ</w:t>
      </w:r>
      <w:r>
        <w:rPr>
          <w:noProof/>
          <w:color w:val="000000"/>
        </w:rPr>
        <w:t xml:space="preserve"> </w:t>
      </w:r>
      <w:r>
        <w:rPr>
          <w:color w:val="000000"/>
          <w:sz w:val="24"/>
          <w:szCs w:val="24"/>
        </w:rPr>
        <w:t>применительно к схемам ЛМЗ. Стоимостная оценка парогенератора проводилась по методике ЦКТИ</w:t>
      </w:r>
      <w:r>
        <w:rPr>
          <w:noProof/>
          <w:color w:val="000000"/>
        </w:rPr>
        <w:t xml:space="preserve"> </w:t>
      </w:r>
      <w:r>
        <w:rPr>
          <w:color w:val="000000"/>
          <w:sz w:val="24"/>
          <w:szCs w:val="24"/>
        </w:rPr>
        <w:t>с использованием данных РоТЭП, НоТЭП. Расчетные формулы преобразованы применительно к прямоточным однокорпусным парогенераторам. Число часов использования номинальной мощности 6500...7000 ч/год при участии 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покрытии минимума электрической нагрузки</w:t>
      </w:r>
      <w:r>
        <w:rPr>
          <w:noProof/>
          <w:color w:val="000000"/>
          <w:sz w:val="24"/>
          <w:szCs w:val="24"/>
        </w:rPr>
        <w:t xml:space="preserve"> 1500</w:t>
      </w:r>
      <w:r>
        <w:rPr>
          <w:color w:val="000000"/>
          <w:sz w:val="24"/>
          <w:szCs w:val="24"/>
        </w:rPr>
        <w:t xml:space="preserve"> ч/год и рассчитанном и рассчитанном при этих условиях по методике СПИ числе часа участия в покрытии максимума нагрузки. Для всех вариантов ППТУ рассмотрена система технического водоснабжения с вентиляторными сухими градирнями. Теплобалансовые и стоимостные оценки, схемные решения выполнялись по данным</w:t>
      </w:r>
      <w:r>
        <w:rPr>
          <w:noProof/>
          <w:color w:val="000000"/>
          <w:sz w:val="24"/>
          <w:szCs w:val="24"/>
        </w:rPr>
        <w:t xml:space="preserve"> региона работы.</w:t>
      </w:r>
      <w:r>
        <w:rPr>
          <w:color w:val="000000"/>
          <w:sz w:val="24"/>
          <w:szCs w:val="24"/>
        </w:rPr>
        <w:t xml:space="preserve"> Относительная цена топлива для ряда серий расчетов принималась в диапазоне 1..3.В качестве вариантов резервных установок в различных сериях расчётов рассматривались ГЭС, КЭС, полупиковые энергоблоки (по схеме СЭИ СО РАН, но при работе на синтез-газе)</w:t>
      </w:r>
      <w:r>
        <w:rPr>
          <w:noProof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ГТУ. Предельные допустимые выбросы в расчетах принимались в интервале </w:t>
      </w:r>
      <w:r>
        <w:rPr>
          <w:noProof/>
          <w:color w:val="000000"/>
          <w:sz w:val="24"/>
          <w:szCs w:val="24"/>
        </w:rPr>
        <w:t>0,3...0,7</w:t>
      </w:r>
      <w:r>
        <w:rPr>
          <w:color w:val="000000"/>
          <w:sz w:val="24"/>
          <w:szCs w:val="24"/>
        </w:rPr>
        <w:t xml:space="preserve"> от ПДК. В настоящее время ежегодные приведенные затраты на сокращение вредных выбросов дороги, а затраты в экологическую инфраструктуру занижены при данном составе реципиентов (в основном лес и сельскохозяйственные угодья)</w:t>
      </w:r>
      <w:r>
        <w:rPr>
          <w:noProof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Существующие методики не позволяют учесть воздействие на окружающую самих вредных ингредиентов (окислы серы, азота, зола), а продуктов их трансформаций и оценить увеличение ущерба, наносимого окружающей среде засорением водоемов, почвы и т. д. Уровень цен на прогнозируемом этапе является одним из главных факторов, влияющих на природоохранную стратегию. Поэтому целый ряд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серий расчетов выполнен при варьировании относительных затрат в экологическую инфраструктуру в пределах 1...3. Затраты в производственную и социальную инфраструктуру приняты на основе данных СПИ. Основная часть расчетов выполнена для вариантов с замещаемым химическим производством синтез-газа. Проведена серия расчетов оценки влияния на приведенные затраты замещаемого химического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производства технического углерода и серосодержащего сырья. Удельные затраты химического продукта в замещаемое химическое производство приняты по данным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оптимизации теплоснабжающей системы]</w:t>
      </w:r>
      <w:r>
        <w:rPr>
          <w:color w:val="000000"/>
          <w:sz w:val="24"/>
          <w:szCs w:val="24"/>
        </w:rPr>
        <w:t xml:space="preserve"> и Сибгипромеза. В соответствии с содержанием расчетов полная система совместно работающих программ для ЕС ЭВМ включает процедуры: определения термодинамических параметров воды и водяного пара; теплового расчета схем энерготехнологических и угольных блоков; теплового, гидравлического, аэродинамического, конструктивного и стоимостного расчетов реактора плазмотермической газификации КАУ; технико-экономического расчета энерготехнологических и угольных блоков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при недетерминированной информации; перебора расчетных вариантов параметров, изменения типа и схемы энергоблоков и режимных и экологических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условий их функционирования; комплексной оптимизации параметров методом нелинейного программирования. Последние две процедуры входят в управляющую программу и работают поочередно согласно заданию.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Газопарогенераторная часть, в том числе: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парогенераторные установки,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-плазмотермические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реакторные установки,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плазмотроны,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системы снижения производства оксидов азота,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системы сероочистки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оборудование очистки синтез-газа от золы,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- топливное хозяйство,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дымовые трубы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система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золошлакоудаления и отпуска потребителю золошлаков,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транспортное хозяйство, внешние коммуникации и прочее</w:t>
      </w:r>
    </w:p>
    <w:p w:rsidR="004367BD" w:rsidRDefault="00A00783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  <w:sz w:val="24"/>
          <w:szCs w:val="24"/>
        </w:rPr>
        <w:t>Рассмотрим в качестве примера один из параметров объекта оптимизации.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единичной мощности.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Разработанный алгоритм предусматривает выбор более предпочтительной (знак</w:t>
      </w:r>
      <w:r>
        <w:rPr>
          <w:noProof/>
          <w:color w:val="000000"/>
          <w:sz w:val="24"/>
          <w:szCs w:val="24"/>
        </w:rPr>
        <w:t xml:space="preserve"> &lt; )</w:t>
      </w:r>
      <w:r>
        <w:rPr>
          <w:color w:val="000000"/>
          <w:sz w:val="24"/>
          <w:szCs w:val="24"/>
        </w:rPr>
        <w:t xml:space="preserve"> единичной мощности при одинаковых мощности энергосистемы</w:t>
      </w:r>
      <w:r>
        <w:rPr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и условиях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  <w:lang w:val="en-US"/>
        </w:rPr>
        <w:t>h</w:t>
      </w:r>
      <w:r>
        <w:rPr>
          <w:color w:val="000000"/>
          <w:vertAlign w:val="subscript"/>
        </w:rPr>
        <w:t xml:space="preserve"> </w:t>
      </w:r>
      <w:r>
        <w:rPr>
          <w:color w:val="000000"/>
          <w:sz w:val="24"/>
          <w:szCs w:val="24"/>
        </w:rPr>
        <w:t>и при оптимальных (для каждого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варианта) параметрах, т.е.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object w:dxaOrig="4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8.25pt" o:ole="">
            <v:imagedata r:id="rId5" o:title=""/>
          </v:shape>
          <o:OLEObject Type="Embed" ProgID="Equation.3" ShapeID="_x0000_i1025" DrawAspect="Content" ObjectID="_1452203447" r:id="rId6"/>
        </w:objec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N</w:t>
      </w:r>
      <w:r>
        <w:rPr>
          <w:noProof/>
          <w:color w:val="000000"/>
          <w:sz w:val="24"/>
          <w:szCs w:val="24"/>
          <w:vertAlign w:val="subscript"/>
          <w:lang w:val="en-US"/>
        </w:rPr>
        <w:t>h</w:t>
      </w:r>
      <w:r>
        <w:rPr>
          <w:noProof/>
          <w:color w:val="000000"/>
          <w:sz w:val="24"/>
          <w:szCs w:val="24"/>
          <w:vertAlign w:val="subscript"/>
        </w:rPr>
        <w:t>+1</w:t>
      </w:r>
      <w:r>
        <w:rPr>
          <w:color w:val="000000"/>
          <w:sz w:val="24"/>
          <w:szCs w:val="24"/>
        </w:rPr>
        <w:t xml:space="preserve"> более предпочтительна, чем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  <w:lang w:val="en-US"/>
        </w:rPr>
        <w:t>h</w:t>
      </w:r>
      <w:r>
        <w:rPr>
          <w:color w:val="000000"/>
          <w:sz w:val="24"/>
          <w:szCs w:val="24"/>
        </w:rPr>
        <w:t>, если вероятные минимальные удельные приведенные затраты</w:t>
      </w:r>
      <w:r>
        <w:rPr>
          <w:noProof/>
          <w:color w:val="000000"/>
          <w:sz w:val="24"/>
          <w:szCs w:val="24"/>
        </w:rPr>
        <w:t xml:space="preserve"> 3</w:t>
      </w:r>
      <w:r>
        <w:rPr>
          <w:noProof/>
          <w:color w:val="000000"/>
          <w:sz w:val="24"/>
          <w:szCs w:val="24"/>
          <w:vertAlign w:val="subscript"/>
          <w:lang w:val="en-US"/>
        </w:rPr>
        <w:t>min</w:t>
      </w:r>
      <w:r>
        <w:rPr>
          <w:noProof/>
          <w:color w:val="000000"/>
          <w:sz w:val="24"/>
          <w:szCs w:val="24"/>
        </w:rPr>
        <w:t>(</w:t>
      </w:r>
      <w:r>
        <w:rPr>
          <w:noProof/>
          <w:color w:val="000000"/>
          <w:sz w:val="24"/>
          <w:szCs w:val="24"/>
          <w:lang w:val="en-US"/>
        </w:rPr>
        <w:t>w</w:t>
      </w:r>
      <w:r>
        <w:rPr>
          <w:noProof/>
          <w:color w:val="000000"/>
          <w:sz w:val="24"/>
          <w:szCs w:val="24"/>
        </w:rPr>
        <w:t>)</w:t>
      </w:r>
      <w:r>
        <w:rPr>
          <w:noProof/>
          <w:color w:val="000000"/>
          <w:sz w:val="24"/>
          <w:szCs w:val="24"/>
          <w:vertAlign w:val="subscript"/>
          <w:lang w:val="en-US"/>
        </w:rPr>
        <w:t>h</w:t>
      </w:r>
      <w:r>
        <w:rPr>
          <w:noProof/>
          <w:color w:val="000000"/>
          <w:sz w:val="24"/>
          <w:szCs w:val="24"/>
          <w:vertAlign w:val="subscript"/>
        </w:rPr>
        <w:t>+1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более предпочтительны, чем</w:t>
      </w:r>
      <w:r>
        <w:rPr>
          <w:noProof/>
          <w:color w:val="000000"/>
          <w:sz w:val="24"/>
          <w:szCs w:val="24"/>
        </w:rPr>
        <w:t xml:space="preserve"> 3</w:t>
      </w:r>
      <w:r>
        <w:rPr>
          <w:noProof/>
          <w:color w:val="000000"/>
          <w:sz w:val="24"/>
          <w:szCs w:val="24"/>
          <w:vertAlign w:val="subscript"/>
          <w:lang w:val="en-US"/>
        </w:rPr>
        <w:t>min</w:t>
      </w:r>
      <w:r>
        <w:rPr>
          <w:noProof/>
          <w:color w:val="000000"/>
          <w:sz w:val="24"/>
          <w:szCs w:val="24"/>
        </w:rPr>
        <w:t>(</w:t>
      </w:r>
      <w:r>
        <w:rPr>
          <w:noProof/>
          <w:color w:val="000000"/>
          <w:sz w:val="24"/>
          <w:szCs w:val="24"/>
          <w:lang w:val="en-US"/>
        </w:rPr>
        <w:t>w</w:t>
      </w:r>
      <w:r>
        <w:rPr>
          <w:noProof/>
          <w:color w:val="000000"/>
          <w:sz w:val="24"/>
          <w:szCs w:val="24"/>
        </w:rPr>
        <w:t>)</w:t>
      </w:r>
      <w:r>
        <w:rPr>
          <w:noProof/>
          <w:color w:val="000000"/>
          <w:sz w:val="24"/>
          <w:szCs w:val="24"/>
          <w:vertAlign w:val="subscript"/>
          <w:lang w:val="en-US"/>
        </w:rPr>
        <w:t>h</w:t>
      </w:r>
      <w:r>
        <w:rPr>
          <w:noProof/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t xml:space="preserve"> и одновременно-вероятная экологическая зона функционирования всех энергоблоков с единичной мощностью, </w:t>
      </w:r>
      <w:r>
        <w:rPr>
          <w:noProof/>
          <w:color w:val="000000"/>
          <w:sz w:val="24"/>
          <w:szCs w:val="24"/>
        </w:rPr>
        <w:t>N</w:t>
      </w:r>
      <w:r>
        <w:rPr>
          <w:noProof/>
          <w:color w:val="000000"/>
          <w:sz w:val="24"/>
          <w:szCs w:val="24"/>
          <w:vertAlign w:val="subscript"/>
          <w:lang w:val="en-US"/>
        </w:rPr>
        <w:t>h</w:t>
      </w:r>
      <w:r>
        <w:rPr>
          <w:noProof/>
          <w:color w:val="000000"/>
          <w:sz w:val="24"/>
          <w:szCs w:val="24"/>
          <w:vertAlign w:val="subscript"/>
        </w:rPr>
        <w:t>+1</w:t>
      </w:r>
      <w:r>
        <w:rPr>
          <w:color w:val="000000"/>
          <w:sz w:val="24"/>
          <w:szCs w:val="24"/>
        </w:rPr>
        <w:t xml:space="preserve"> энергосистемы(включая резервные установки)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</w:rPr>
        <w:t>ТЭС</w:t>
      </w:r>
      <w:r>
        <w:rPr>
          <w:color w:val="000000"/>
          <w:sz w:val="24"/>
          <w:szCs w:val="24"/>
        </w:rPr>
        <w:t>(</w:t>
      </w:r>
      <w:r>
        <w:rPr>
          <w:noProof/>
          <w:color w:val="000000"/>
          <w:sz w:val="24"/>
          <w:szCs w:val="24"/>
        </w:rPr>
        <w:t>N</w:t>
      </w:r>
      <w:r>
        <w:rPr>
          <w:noProof/>
          <w:color w:val="000000"/>
          <w:sz w:val="24"/>
          <w:szCs w:val="24"/>
          <w:vertAlign w:val="subscript"/>
          <w:lang w:val="en-US"/>
        </w:rPr>
        <w:t>h</w:t>
      </w:r>
      <w:r>
        <w:rPr>
          <w:noProof/>
          <w:color w:val="000000"/>
          <w:sz w:val="24"/>
          <w:szCs w:val="24"/>
          <w:vertAlign w:val="subscript"/>
        </w:rPr>
        <w:t>+1</w:t>
      </w:r>
      <w:r>
        <w:rPr>
          <w:color w:val="000000"/>
          <w:sz w:val="24"/>
          <w:szCs w:val="24"/>
        </w:rPr>
        <w:t xml:space="preserve">) более предпочтительна, чем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</w:rPr>
        <w:t>ТЭС</w:t>
      </w:r>
      <w:r>
        <w:rPr>
          <w:color w:val="000000"/>
          <w:sz w:val="24"/>
          <w:szCs w:val="24"/>
        </w:rPr>
        <w:t>(</w:t>
      </w:r>
      <w:r>
        <w:rPr>
          <w:noProof/>
          <w:color w:val="000000"/>
          <w:sz w:val="24"/>
          <w:szCs w:val="24"/>
        </w:rPr>
        <w:t>N</w:t>
      </w:r>
      <w:r>
        <w:rPr>
          <w:noProof/>
          <w:color w:val="000000"/>
          <w:sz w:val="24"/>
          <w:szCs w:val="24"/>
          <w:vertAlign w:val="subscript"/>
          <w:lang w:val="en-US"/>
        </w:rPr>
        <w:t>h</w:t>
      </w:r>
      <w:r>
        <w:rPr>
          <w:noProof/>
          <w:color w:val="000000"/>
          <w:sz w:val="24"/>
          <w:szCs w:val="24"/>
          <w:vertAlign w:val="subscript"/>
        </w:rPr>
        <w:t>+1</w:t>
      </w:r>
      <w:r>
        <w:rPr>
          <w:color w:val="000000"/>
          <w:sz w:val="24"/>
          <w:szCs w:val="24"/>
        </w:rPr>
        <w:t>).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рис.1. приведены в зависимости </w:t>
      </w:r>
    </w:p>
    <w:p w:rsidR="004367BD" w:rsidRDefault="00D572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95pt;height:235.5pt">
            <v:imagedata r:id="rId7" o:title=""/>
          </v:shape>
        </w:pic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единичной мощности показатели ППТУ с плазмотермическим реактором при 30-процентном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отпуске синтез-газа потребителям. Из этих данных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следует, что энергоблоки</w:t>
      </w:r>
      <w:r>
        <w:rPr>
          <w:noProof/>
          <w:color w:val="000000"/>
          <w:sz w:val="24"/>
          <w:szCs w:val="24"/>
        </w:rPr>
        <w:t xml:space="preserve"> 500</w:t>
      </w:r>
      <w:r>
        <w:rPr>
          <w:color w:val="000000"/>
          <w:sz w:val="24"/>
          <w:szCs w:val="24"/>
        </w:rPr>
        <w:t xml:space="preserve"> и</w:t>
      </w:r>
      <w:r>
        <w:rPr>
          <w:noProof/>
          <w:color w:val="000000"/>
          <w:sz w:val="24"/>
          <w:szCs w:val="24"/>
        </w:rPr>
        <w:t xml:space="preserve"> 800</w:t>
      </w:r>
      <w:r>
        <w:rPr>
          <w:color w:val="000000"/>
          <w:sz w:val="24"/>
          <w:szCs w:val="24"/>
        </w:rPr>
        <w:t xml:space="preserve"> МВт более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предпочтительны, чем </w:t>
      </w:r>
      <w:r>
        <w:rPr>
          <w:noProof/>
          <w:color w:val="000000"/>
          <w:sz w:val="24"/>
          <w:szCs w:val="24"/>
        </w:rPr>
        <w:t>300</w:t>
      </w:r>
      <w:r>
        <w:rPr>
          <w:color w:val="000000"/>
          <w:sz w:val="24"/>
          <w:szCs w:val="24"/>
        </w:rPr>
        <w:t xml:space="preserve"> МВт. В основном это обусловлено меньшим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удельными капиталовложениями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Рис.1 Зависимость показателей ППТУ с плазмотермическим реактором от единичной мощности энергоблока:</w:t>
      </w:r>
      <w:r>
        <w:rPr>
          <w:noProof/>
          <w:color w:val="000000"/>
          <w:sz w:val="24"/>
          <w:szCs w:val="24"/>
        </w:rPr>
        <w:t xml:space="preserve"> 1 —</w:t>
      </w:r>
      <w:r>
        <w:rPr>
          <w:color w:val="000000"/>
          <w:sz w:val="24"/>
          <w:szCs w:val="24"/>
        </w:rPr>
        <w:t xml:space="preserve"> относительные вероятные удельные приведенные затраты (З</w:t>
      </w:r>
      <w:r>
        <w:rPr>
          <w:color w:val="000000"/>
          <w:sz w:val="24"/>
          <w:szCs w:val="24"/>
          <w:lang w:val="en-US"/>
        </w:rPr>
        <w:t>min</w:t>
      </w:r>
      <w:r>
        <w:rPr>
          <w:color w:val="000000"/>
          <w:sz w:val="24"/>
          <w:szCs w:val="24"/>
        </w:rPr>
        <w:t>) на отпускаемую электроэнергию;</w:t>
      </w:r>
      <w:r>
        <w:rPr>
          <w:noProof/>
          <w:color w:val="000000"/>
          <w:sz w:val="24"/>
          <w:szCs w:val="24"/>
        </w:rPr>
        <w:t xml:space="preserve"> 2,3 —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эксергетический КПД на отпускаемые электроэнергию и синтез-газ;</w:t>
      </w:r>
      <w:r>
        <w:rPr>
          <w:noProof/>
          <w:color w:val="000000"/>
          <w:sz w:val="24"/>
          <w:szCs w:val="24"/>
        </w:rPr>
        <w:t xml:space="preserve"> 5 —</w:t>
      </w:r>
      <w:r>
        <w:rPr>
          <w:color w:val="000000"/>
          <w:sz w:val="24"/>
          <w:szCs w:val="24"/>
        </w:rPr>
        <w:t xml:space="preserve"> структурный коэффициент (</w:t>
      </w:r>
      <w:r>
        <w:rPr>
          <w:color w:val="000000"/>
          <w:sz w:val="24"/>
          <w:szCs w:val="24"/>
        </w:rPr>
        <w:object w:dxaOrig="200" w:dyaOrig="220">
          <v:shape id="_x0000_i1027" type="#_x0000_t75" style="width:9.75pt;height:11.25pt" o:ole="">
            <v:imagedata r:id="rId8" o:title=""/>
          </v:shape>
          <o:OLEObject Type="Embed" ProgID="Equation.3" ShapeID="_x0000_i1027" DrawAspect="Content" ObjectID="_1452203448" r:id="rId9"/>
        </w:object>
      </w:r>
      <w:r>
        <w:rPr>
          <w:color w:val="000000"/>
          <w:sz w:val="24"/>
          <w:szCs w:val="24"/>
        </w:rPr>
        <w:t>)</w:t>
      </w:r>
      <w:r>
        <w:rPr>
          <w:noProof/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6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вероятная суммарная экологическая зона функционирования энергоблоков (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</w:rPr>
        <w:t>ТЭС</w:t>
      </w:r>
      <w:r>
        <w:rPr>
          <w:color w:val="000000"/>
          <w:sz w:val="24"/>
          <w:szCs w:val="24"/>
        </w:rPr>
        <w:t>),</w:t>
      </w:r>
      <w:r>
        <w:rPr>
          <w:noProof/>
          <w:color w:val="000000"/>
          <w:sz w:val="24"/>
          <w:szCs w:val="24"/>
        </w:rPr>
        <w:t xml:space="preserve"> 7 —</w:t>
      </w:r>
      <w:r>
        <w:rPr>
          <w:color w:val="000000"/>
          <w:sz w:val="24"/>
          <w:szCs w:val="24"/>
        </w:rPr>
        <w:t xml:space="preserve"> вероятные коэффициенты резерва в энергосистеме (</w:t>
      </w:r>
      <w:r>
        <w:rPr>
          <w:color w:val="000000"/>
          <w:sz w:val="24"/>
          <w:szCs w:val="24"/>
          <w:lang w:val="en-US"/>
        </w:rPr>
        <w:t>Up</w:t>
      </w:r>
      <w:r>
        <w:rPr>
          <w:color w:val="000000"/>
          <w:sz w:val="24"/>
          <w:szCs w:val="24"/>
        </w:rPr>
        <w:t>)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в эти энергоблоки по сравнению с энергоблоками</w:t>
      </w:r>
      <w:r>
        <w:rPr>
          <w:noProof/>
          <w:color w:val="000000"/>
          <w:sz w:val="24"/>
          <w:szCs w:val="24"/>
        </w:rPr>
        <w:t xml:space="preserve"> 300МВт. </w:t>
      </w:r>
      <w:r>
        <w:rPr>
          <w:color w:val="000000"/>
          <w:sz w:val="24"/>
          <w:szCs w:val="24"/>
        </w:rPr>
        <w:t>Оптимальная эксергетическая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технико- экономическая </w:t>
      </w:r>
      <w:r>
        <w:rPr>
          <w:noProof/>
          <w:color w:val="000000"/>
          <w:sz w:val="24"/>
          <w:szCs w:val="24"/>
        </w:rPr>
        <w:t>(3</w:t>
      </w:r>
      <w:r>
        <w:rPr>
          <w:noProof/>
          <w:color w:val="000000"/>
          <w:sz w:val="24"/>
          <w:szCs w:val="24"/>
          <w:vertAlign w:val="subscript"/>
          <w:lang w:val="en-US"/>
        </w:rPr>
        <w:t>min</w:t>
      </w:r>
      <w:r>
        <w:rPr>
          <w:noProof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эффективности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энергоблоков</w:t>
      </w:r>
      <w:r>
        <w:rPr>
          <w:noProof/>
          <w:color w:val="000000"/>
          <w:sz w:val="24"/>
          <w:szCs w:val="24"/>
        </w:rPr>
        <w:t xml:space="preserve"> 500 и 800 </w:t>
      </w:r>
      <w:r>
        <w:rPr>
          <w:color w:val="000000"/>
          <w:sz w:val="24"/>
          <w:szCs w:val="24"/>
        </w:rPr>
        <w:t>МВт, вероятная экологическая зона их функционирования практически одинаковы (с учетом доверительного интервала)</w:t>
      </w:r>
      <w:r>
        <w:rPr>
          <w:noProof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Однако энергоблоки </w:t>
      </w:r>
      <w:r>
        <w:rPr>
          <w:noProof/>
          <w:color w:val="000000"/>
          <w:sz w:val="24"/>
          <w:szCs w:val="24"/>
        </w:rPr>
        <w:t>800</w:t>
      </w:r>
      <w:r>
        <w:rPr>
          <w:color w:val="000000"/>
          <w:sz w:val="24"/>
          <w:szCs w:val="24"/>
        </w:rPr>
        <w:t xml:space="preserve"> МВт обеспечивают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более высокие темпы ввода генерирующих мощностей.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экономико-экологической равноценности энергоблоков</w:t>
      </w:r>
      <w:r>
        <w:rPr>
          <w:noProof/>
          <w:color w:val="000000"/>
          <w:sz w:val="24"/>
          <w:szCs w:val="24"/>
        </w:rPr>
        <w:t xml:space="preserve"> 500</w:t>
      </w:r>
      <w:r>
        <w:rPr>
          <w:color w:val="000000"/>
          <w:sz w:val="24"/>
          <w:szCs w:val="24"/>
        </w:rPr>
        <w:t xml:space="preserve"> и</w:t>
      </w:r>
      <w:r>
        <w:rPr>
          <w:noProof/>
          <w:color w:val="000000"/>
          <w:sz w:val="24"/>
          <w:szCs w:val="24"/>
        </w:rPr>
        <w:t xml:space="preserve"> 800</w:t>
      </w:r>
      <w:r>
        <w:rPr>
          <w:color w:val="000000"/>
          <w:sz w:val="24"/>
          <w:szCs w:val="24"/>
        </w:rPr>
        <w:t xml:space="preserve"> МВт и отмеченных выше обстоятельств целесообразно принять в качестве более предпочтительного ППТУ</w:t>
      </w:r>
      <w:r>
        <w:rPr>
          <w:noProof/>
          <w:color w:val="000000"/>
          <w:sz w:val="24"/>
          <w:szCs w:val="24"/>
        </w:rPr>
        <w:t>-800</w:t>
      </w:r>
      <w:r>
        <w:rPr>
          <w:color w:val="000000"/>
          <w:sz w:val="24"/>
          <w:szCs w:val="24"/>
        </w:rPr>
        <w:t xml:space="preserve"> с плазмотермическим реактором.</w:t>
      </w:r>
    </w:p>
    <w:p w:rsidR="004367BD" w:rsidRDefault="00A007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выполнены вероятностных системных исследований энерготехнологических блоков электростанции КАТЭКа с новыми технологиями использования угля впервые были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полученные результаты системных исследований паротурбинных и парогазовых энерготехнологических блоков с плазмотермической газификацией КАУ в составе конденсационных и теплофикационных электростанций КАТЭКа, позволившие разработать и сформировать рекомендации по масштабам их применения в составе электростанций КАТЭКа и оптимальным схемам и параметрам.</w:t>
      </w:r>
      <w:r>
        <w:rPr>
          <w:noProof/>
          <w:color w:val="000000"/>
        </w:rPr>
        <w:t xml:space="preserve"> 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Экологически перспективный энерготехнологический блок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паротурбинный мощностью 500...</w:t>
      </w:r>
      <w:r>
        <w:rPr>
          <w:noProof/>
          <w:color w:val="000000"/>
          <w:sz w:val="24"/>
          <w:szCs w:val="24"/>
        </w:rPr>
        <w:t>800</w:t>
      </w:r>
      <w:r>
        <w:rPr>
          <w:color w:val="000000"/>
          <w:sz w:val="24"/>
          <w:szCs w:val="24"/>
        </w:rPr>
        <w:t xml:space="preserve"> МВт на начальные параметры пара</w:t>
      </w:r>
      <w:r>
        <w:rPr>
          <w:noProof/>
          <w:color w:val="000000"/>
          <w:sz w:val="24"/>
          <w:szCs w:val="24"/>
        </w:rPr>
        <w:t xml:space="preserve"> 17,5...23,5</w:t>
      </w:r>
      <w:r>
        <w:rPr>
          <w:color w:val="000000"/>
          <w:sz w:val="24"/>
          <w:szCs w:val="24"/>
        </w:rPr>
        <w:t xml:space="preserve"> МПа,</w:t>
      </w:r>
      <w:r>
        <w:rPr>
          <w:noProof/>
          <w:color w:val="000000"/>
          <w:sz w:val="24"/>
          <w:szCs w:val="24"/>
        </w:rPr>
        <w:t xml:space="preserve"> 510...540</w:t>
      </w:r>
      <w:r>
        <w:rPr>
          <w:color w:val="000000"/>
          <w:sz w:val="24"/>
          <w:szCs w:val="24"/>
        </w:rPr>
        <w:t xml:space="preserve"> С (соответственно при 30..10-процентном отпуске потребителю синтез-газа) при температуре промперегрева</w:t>
      </w:r>
      <w:r>
        <w:rPr>
          <w:noProof/>
          <w:color w:val="000000"/>
          <w:sz w:val="24"/>
          <w:szCs w:val="24"/>
        </w:rPr>
        <w:t xml:space="preserve"> 540</w:t>
      </w:r>
      <w:r>
        <w:rPr>
          <w:color w:val="000000"/>
          <w:sz w:val="24"/>
          <w:szCs w:val="24"/>
        </w:rPr>
        <w:t xml:space="preserve"> С, температуре питательной воды</w:t>
      </w:r>
      <w:r>
        <w:rPr>
          <w:noProof/>
          <w:color w:val="000000"/>
          <w:sz w:val="24"/>
          <w:szCs w:val="24"/>
        </w:rPr>
        <w:t xml:space="preserve"> 270...275</w:t>
      </w:r>
      <w:r>
        <w:rPr>
          <w:color w:val="000000"/>
          <w:sz w:val="24"/>
          <w:szCs w:val="24"/>
        </w:rPr>
        <w:t xml:space="preserve"> С, с парогенератором на синтез-газе, с системой технического водоснабжения с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сухими вентиляторными градирнями при давлении пара в конденсаторе</w:t>
      </w:r>
      <w:r>
        <w:rPr>
          <w:noProof/>
          <w:color w:val="000000"/>
          <w:sz w:val="24"/>
          <w:szCs w:val="24"/>
        </w:rPr>
        <w:t xml:space="preserve"> 0,007.</w:t>
      </w:r>
      <w:r>
        <w:rPr>
          <w:color w:val="000000"/>
          <w:sz w:val="24"/>
          <w:szCs w:val="24"/>
        </w:rPr>
        <w:t>..0,</w:t>
      </w:r>
      <w:r>
        <w:rPr>
          <w:noProof/>
          <w:color w:val="000000"/>
          <w:sz w:val="24"/>
          <w:szCs w:val="24"/>
        </w:rPr>
        <w:t>010</w:t>
      </w:r>
      <w:r>
        <w:rPr>
          <w:color w:val="000000"/>
          <w:sz w:val="24"/>
          <w:szCs w:val="24"/>
        </w:rPr>
        <w:t xml:space="preserve"> МПа; в технологической части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с паровым плазмотермическим реактором при температурах реакции</w:t>
      </w:r>
      <w:r>
        <w:rPr>
          <w:noProof/>
          <w:color w:val="000000"/>
          <w:sz w:val="24"/>
          <w:szCs w:val="24"/>
        </w:rPr>
        <w:t xml:space="preserve"> 1480.. .1510</w:t>
      </w:r>
      <w:r>
        <w:rPr>
          <w:color w:val="000000"/>
          <w:sz w:val="24"/>
          <w:szCs w:val="24"/>
        </w:rPr>
        <w:t xml:space="preserve"> К, перегрева плазмообразующего пара</w:t>
      </w:r>
      <w:r>
        <w:rPr>
          <w:noProof/>
          <w:color w:val="000000"/>
          <w:sz w:val="24"/>
          <w:szCs w:val="24"/>
        </w:rPr>
        <w:t xml:space="preserve"> 1010...1070</w:t>
      </w:r>
      <w:r>
        <w:rPr>
          <w:color w:val="000000"/>
          <w:sz w:val="24"/>
          <w:szCs w:val="24"/>
        </w:rPr>
        <w:t xml:space="preserve"> К, при степени газификации</w:t>
      </w:r>
      <w:r>
        <w:rPr>
          <w:noProof/>
          <w:color w:val="000000"/>
          <w:sz w:val="24"/>
          <w:szCs w:val="24"/>
        </w:rPr>
        <w:t xml:space="preserve"> 0,82.</w:t>
      </w:r>
      <w:r>
        <w:rPr>
          <w:color w:val="000000"/>
          <w:sz w:val="24"/>
          <w:szCs w:val="24"/>
        </w:rPr>
        <w:t>..0,</w:t>
      </w:r>
      <w:r>
        <w:rPr>
          <w:noProof/>
          <w:color w:val="000000"/>
          <w:sz w:val="24"/>
          <w:szCs w:val="24"/>
        </w:rPr>
        <w:t>84,</w:t>
      </w:r>
      <w:r>
        <w:rPr>
          <w:color w:val="000000"/>
          <w:sz w:val="24"/>
          <w:szCs w:val="24"/>
        </w:rPr>
        <w:t xml:space="preserve"> с газоаккумуляторов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z w:val="24"/>
          <w:szCs w:val="24"/>
        </w:rPr>
        <w:t>40...110</w:t>
      </w:r>
      <w:r>
        <w:rPr>
          <w:color w:val="000000"/>
          <w:sz w:val="24"/>
          <w:szCs w:val="24"/>
        </w:rPr>
        <w:t xml:space="preserve"> тыс.м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(при </w:t>
      </w:r>
      <w:r>
        <w:rPr>
          <w:noProof/>
          <w:color w:val="000000"/>
          <w:sz w:val="24"/>
          <w:szCs w:val="24"/>
        </w:rPr>
        <w:t>10...</w:t>
      </w:r>
      <w:r>
        <w:rPr>
          <w:color w:val="000000"/>
          <w:sz w:val="24"/>
          <w:szCs w:val="24"/>
        </w:rPr>
        <w:t xml:space="preserve"> 30-процентном отпуске потребителю синтез-газа); или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парогазовый на базе оптимального паротурбинного энерготехнологического блока</w:t>
      </w:r>
      <w:r>
        <w:rPr>
          <w:noProof/>
          <w:color w:val="000000"/>
          <w:sz w:val="24"/>
          <w:szCs w:val="24"/>
        </w:rPr>
        <w:t xml:space="preserve"> 500...800</w:t>
      </w:r>
      <w:r>
        <w:rPr>
          <w:color w:val="000000"/>
          <w:sz w:val="24"/>
          <w:szCs w:val="24"/>
        </w:rPr>
        <w:t xml:space="preserve"> МВт и газотурбинного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ГТЭ-150 со сбросом отработавших газов в топку парогенератора с дожиганием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синтез-газа; для ТЭЦ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паротурбинный энерготехнологический блок </w:t>
      </w:r>
      <w:r>
        <w:rPr>
          <w:noProof/>
          <w:color w:val="000000"/>
          <w:sz w:val="24"/>
          <w:szCs w:val="24"/>
        </w:rPr>
        <w:t>135/165...250/300</w:t>
      </w:r>
      <w:r>
        <w:rPr>
          <w:color w:val="000000"/>
          <w:sz w:val="24"/>
          <w:szCs w:val="24"/>
        </w:rPr>
        <w:t xml:space="preserve"> МВт на начальные параметры пара 13...17 МПа, </w:t>
      </w:r>
      <w:r>
        <w:rPr>
          <w:noProof/>
          <w:color w:val="000000"/>
          <w:sz w:val="24"/>
          <w:szCs w:val="24"/>
        </w:rPr>
        <w:t>510</w:t>
      </w:r>
      <w:r>
        <w:rPr>
          <w:color w:val="000000"/>
          <w:sz w:val="24"/>
          <w:szCs w:val="24"/>
        </w:rPr>
        <w:t xml:space="preserve"> С при температуре питательной воды</w:t>
      </w:r>
      <w:r>
        <w:rPr>
          <w:noProof/>
          <w:color w:val="000000"/>
          <w:sz w:val="24"/>
          <w:szCs w:val="24"/>
        </w:rPr>
        <w:t xml:space="preserve"> 200...275</w:t>
      </w:r>
      <w:r>
        <w:rPr>
          <w:color w:val="000000"/>
          <w:sz w:val="24"/>
          <w:szCs w:val="24"/>
        </w:rPr>
        <w:t xml:space="preserve"> С (при отпуске 0,0</w:t>
      </w:r>
      <w:r>
        <w:rPr>
          <w:noProof/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>..0,</w:t>
      </w:r>
      <w:r>
        <w:rPr>
          <w:noProof/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 млрд.м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/год синтез-газа) и коэффициенте теплофикации 0,6</w:t>
      </w:r>
      <w:r>
        <w:rPr>
          <w:noProof/>
          <w:color w:val="000000"/>
          <w:sz w:val="24"/>
          <w:szCs w:val="24"/>
        </w:rPr>
        <w:t>..0,7,</w:t>
      </w:r>
      <w:r>
        <w:rPr>
          <w:color w:val="000000"/>
          <w:sz w:val="24"/>
          <w:szCs w:val="24"/>
        </w:rPr>
        <w:t xml:space="preserve"> с плазмотермическим реактором в технологической части при температурах реакции</w:t>
      </w:r>
      <w:r>
        <w:rPr>
          <w:noProof/>
          <w:color w:val="000000"/>
          <w:sz w:val="24"/>
          <w:szCs w:val="24"/>
        </w:rPr>
        <w:t xml:space="preserve"> 1440...1500</w:t>
      </w:r>
      <w:r>
        <w:rPr>
          <w:color w:val="000000"/>
          <w:sz w:val="24"/>
          <w:szCs w:val="24"/>
        </w:rPr>
        <w:t xml:space="preserve"> К, перегрева плазмообразующего пара</w:t>
      </w:r>
      <w:r>
        <w:rPr>
          <w:noProof/>
          <w:color w:val="000000"/>
          <w:sz w:val="24"/>
          <w:szCs w:val="24"/>
        </w:rPr>
        <w:t xml:space="preserve"> 800...1070</w:t>
      </w:r>
      <w:r>
        <w:rPr>
          <w:color w:val="000000"/>
          <w:sz w:val="24"/>
          <w:szCs w:val="24"/>
        </w:rPr>
        <w:t xml:space="preserve"> К, со степенью газификации</w:t>
      </w:r>
      <w:r>
        <w:rPr>
          <w:noProof/>
          <w:color w:val="000000"/>
          <w:sz w:val="24"/>
          <w:szCs w:val="24"/>
        </w:rPr>
        <w:t xml:space="preserve"> 0,72...0,86,</w:t>
      </w:r>
      <w:r>
        <w:rPr>
          <w:color w:val="000000"/>
          <w:sz w:val="24"/>
          <w:szCs w:val="24"/>
        </w:rPr>
        <w:t xml:space="preserve"> без газоаккумуляторов.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Вероятная удельная экономия приведенных затрат от реализации на КАТЭКе экологически перспективных энерготехнологических блоков с плазмотермической газификацией КАУ, отнесенная к затратам на тонну рядового угля</w:t>
      </w:r>
      <w:r>
        <w:rPr>
          <w:noProof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составит (по сравнению с пылеугольными энергоблоками)</w:t>
      </w:r>
      <w:r>
        <w:rPr>
          <w:noProof/>
          <w:color w:val="000000"/>
          <w:sz w:val="24"/>
          <w:szCs w:val="24"/>
        </w:rPr>
        <w:t xml:space="preserve"> 30...40 %</w:t>
      </w:r>
      <w:r>
        <w:rPr>
          <w:color w:val="000000"/>
          <w:sz w:val="24"/>
          <w:szCs w:val="24"/>
        </w:rPr>
        <w:t xml:space="preserve"> Для ГРЭС и</w:t>
      </w:r>
      <w:r>
        <w:rPr>
          <w:noProof/>
          <w:color w:val="000000"/>
          <w:sz w:val="24"/>
          <w:szCs w:val="24"/>
        </w:rPr>
        <w:t xml:space="preserve"> 40...50 %</w:t>
      </w:r>
      <w:r>
        <w:rPr>
          <w:color w:val="000000"/>
          <w:sz w:val="24"/>
          <w:szCs w:val="24"/>
        </w:rPr>
        <w:t xml:space="preserve"> для ТЭЦ.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полученных результатов составляет научную основу системных исследований многоцелевых энерготехнологических комплексов с новыми технологиями использования угля.</w:t>
      </w:r>
    </w:p>
    <w:p w:rsidR="004367BD" w:rsidRDefault="00A007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Ноздренко Г.В. «Эффективность применения в энергетике КАТЭКа экологически перспективных энерготехнологических блоков электростанций с новыми технологиями использования угля». НГТУ-1992,250с.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Журнал «Энергетика», №4,5/99, №8/2000, №11/2000.</w:t>
      </w:r>
    </w:p>
    <w:p w:rsidR="004367BD" w:rsidRDefault="00A007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Попырин Л.С. «Математическое моделирование и оптимизация теплоэнергетических установок»-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.:Энергия-1978.</w:t>
      </w:r>
      <w:bookmarkStart w:id="0" w:name="_GoBack"/>
      <w:bookmarkEnd w:id="0"/>
    </w:p>
    <w:sectPr w:rsidR="004367B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62C"/>
    <w:multiLevelType w:val="hybridMultilevel"/>
    <w:tmpl w:val="2C725AB8"/>
    <w:lvl w:ilvl="0" w:tplc="2C868888"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</w:abstractNum>
  <w:abstractNum w:abstractNumId="1">
    <w:nsid w:val="33754CE1"/>
    <w:multiLevelType w:val="hybridMultilevel"/>
    <w:tmpl w:val="EF6A66CA"/>
    <w:lvl w:ilvl="0" w:tplc="F17E3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040A8E"/>
    <w:multiLevelType w:val="hybridMultilevel"/>
    <w:tmpl w:val="C25E452E"/>
    <w:lvl w:ilvl="0" w:tplc="E28CBE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783"/>
    <w:rsid w:val="004367BD"/>
    <w:rsid w:val="00A00783"/>
    <w:rsid w:val="00D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C448103-5301-43BC-A34F-FBBF309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spacing w:line="220" w:lineRule="auto"/>
      <w:ind w:left="120" w:right="-22"/>
      <w:jc w:val="center"/>
    </w:p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ind w:left="40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after="0" w:line="240" w:lineRule="auto"/>
      <w:ind w:left="320"/>
      <w:jc w:val="right"/>
    </w:pPr>
    <w:rPr>
      <w:rFonts w:ascii="Arial" w:hAnsi="Arial" w:cs="Arial"/>
      <w:sz w:val="16"/>
      <w:szCs w:val="16"/>
      <w:lang w:val="ru-RU" w:eastAsia="ru-RU"/>
    </w:rPr>
  </w:style>
  <w:style w:type="paragraph" w:styleId="a4">
    <w:name w:val="Title"/>
    <w:basedOn w:val="a"/>
    <w:link w:val="a5"/>
    <w:uiPriority w:val="99"/>
    <w:qFormat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6">
    <w:name w:val="Body Text"/>
    <w:basedOn w:val="a"/>
    <w:link w:val="a7"/>
    <w:uiPriority w:val="99"/>
    <w:pPr>
      <w:widowControl w:val="0"/>
      <w:autoSpaceDE w:val="0"/>
      <w:autoSpaceDN w:val="0"/>
      <w:adjustRightInd w:val="0"/>
      <w:spacing w:line="260" w:lineRule="auto"/>
      <w:ind w:right="400"/>
      <w:jc w:val="center"/>
    </w:pPr>
    <w:rPr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  <w:lang w:val="ru-RU" w:eastAsia="ru-RU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sz w:val="18"/>
      <w:szCs w:val="18"/>
      <w:lang w:val="ru-RU" w:eastAsia="ru-RU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2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16330</Words>
  <Characters>9309</Characters>
  <Application>Microsoft Office Word</Application>
  <DocSecurity>0</DocSecurity>
  <Lines>77</Lines>
  <Paragraphs>51</Paragraphs>
  <ScaleCrop>false</ScaleCrop>
  <Company>PERSONAL COMPUTERS</Company>
  <LinksUpToDate>false</LinksUpToDate>
  <CharactersWithSpaces>25588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и оптимизация элементов тепловой схемы энерготехнологического блока</dc:title>
  <dc:subject/>
  <dc:creator>USER</dc:creator>
  <cp:keywords/>
  <dc:description/>
  <cp:lastModifiedBy>admin</cp:lastModifiedBy>
  <cp:revision>2</cp:revision>
  <dcterms:created xsi:type="dcterms:W3CDTF">2014-01-25T23:04:00Z</dcterms:created>
  <dcterms:modified xsi:type="dcterms:W3CDTF">2014-01-25T23:04:00Z</dcterms:modified>
</cp:coreProperties>
</file>