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93" w:rsidRDefault="006A07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МОРДОВСКИЙ ГОСУДАРСТВЕННЫЙ УНИВЕРСИТЕТ.</w:t>
      </w:r>
    </w:p>
    <w:p w:rsidR="00FA7293" w:rsidRDefault="006A07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ФИЗИЧЕСКИЙ ФАКУЛЬТЕТ.</w:t>
      </w:r>
    </w:p>
    <w:p w:rsidR="00FA7293" w:rsidRDefault="00FA7293">
      <w:pPr>
        <w:jc w:val="center"/>
        <w:rPr>
          <w:b/>
          <w:bCs/>
          <w:sz w:val="32"/>
          <w:szCs w:val="32"/>
        </w:rPr>
      </w:pPr>
    </w:p>
    <w:p w:rsidR="00FA7293" w:rsidRDefault="006A073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БАШЛЫКОВ Н.А.</w:t>
      </w:r>
    </w:p>
    <w:p w:rsidR="00FA7293" w:rsidRDefault="00FA7293">
      <w:pPr>
        <w:jc w:val="center"/>
        <w:rPr>
          <w:b/>
          <w:bCs/>
          <w:sz w:val="32"/>
          <w:szCs w:val="32"/>
        </w:rPr>
      </w:pPr>
    </w:p>
    <w:p w:rsidR="00FA7293" w:rsidRDefault="006A073A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МАТЕРИАЛЫ ЯДЕРНОЙ ЭНЕРГЕТИКИ.</w:t>
      </w:r>
    </w:p>
    <w:p w:rsidR="00FA7293" w:rsidRDefault="00FA7293">
      <w:pPr>
        <w:rPr>
          <w:b/>
          <w:bCs/>
          <w:sz w:val="32"/>
          <w:szCs w:val="32"/>
        </w:rPr>
      </w:pPr>
    </w:p>
    <w:p w:rsidR="00FA7293" w:rsidRDefault="006A073A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СОДЕРЖАНИЕ</w:t>
      </w:r>
      <w:r>
        <w:rPr>
          <w:b/>
          <w:bCs/>
          <w:sz w:val="32"/>
          <w:szCs w:val="32"/>
          <w:lang w:val="en-US"/>
        </w:rPr>
        <w:t>:</w:t>
      </w:r>
    </w:p>
    <w:p w:rsidR="00FA7293" w:rsidRDefault="00FA7293">
      <w:pPr>
        <w:jc w:val="both"/>
        <w:rPr>
          <w:b/>
          <w:bCs/>
          <w:sz w:val="32"/>
          <w:szCs w:val="32"/>
          <w:lang w:val="en-US"/>
        </w:rPr>
      </w:pPr>
    </w:p>
    <w:p w:rsidR="00FA7293" w:rsidRDefault="00FA7293">
      <w:pPr>
        <w:jc w:val="both"/>
        <w:rPr>
          <w:b/>
          <w:bCs/>
          <w:sz w:val="32"/>
          <w:szCs w:val="32"/>
          <w:lang w:val="en-US"/>
        </w:rPr>
      </w:pPr>
    </w:p>
    <w:p w:rsidR="00FA7293" w:rsidRDefault="006A073A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ВВЕДЕНИЕ </w:t>
      </w:r>
      <w:r>
        <w:t xml:space="preserve">. . . . . . . . . . . . . . . . . . . . . . . . . . . . . . . . . . . . . . . </w:t>
      </w:r>
      <w:r>
        <w:rPr>
          <w:b/>
          <w:bCs/>
        </w:rPr>
        <w:t>2.</w:t>
      </w:r>
    </w:p>
    <w:p w:rsidR="00FA7293" w:rsidRDefault="00FA7293">
      <w:pPr>
        <w:jc w:val="both"/>
        <w:rPr>
          <w:b/>
          <w:bCs/>
        </w:rPr>
      </w:pPr>
    </w:p>
    <w:p w:rsidR="00FA7293" w:rsidRDefault="00FA7293">
      <w:pPr>
        <w:jc w:val="both"/>
        <w:rPr>
          <w:b/>
          <w:bCs/>
        </w:rPr>
      </w:pPr>
    </w:p>
    <w:p w:rsidR="00FA7293" w:rsidRDefault="006A073A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ФИЗИЧЕСКИЕ ПРОЦЕССЫ В ОБЛУЧАЕМЫХ</w:t>
      </w:r>
    </w:p>
    <w:p w:rsidR="00FA7293" w:rsidRDefault="006A073A">
      <w:pPr>
        <w:ind w:left="852"/>
        <w:jc w:val="both"/>
        <w:rPr>
          <w:b/>
          <w:bCs/>
        </w:rPr>
      </w:pPr>
      <w:r>
        <w:rPr>
          <w:b/>
          <w:bCs/>
        </w:rPr>
        <w:t xml:space="preserve">МАТЕРИАЛАХ </w:t>
      </w:r>
      <w:r>
        <w:t>. . . . . . . . . . . . . . . . . . . . . . . . . . . . . . . . . . . .</w:t>
      </w:r>
      <w:r>
        <w:rPr>
          <w:b/>
          <w:bCs/>
        </w:rPr>
        <w:t>3.</w:t>
      </w:r>
    </w:p>
    <w:p w:rsidR="00FA7293" w:rsidRDefault="00FA7293">
      <w:pPr>
        <w:ind w:left="852"/>
        <w:jc w:val="both"/>
        <w:rPr>
          <w:b/>
          <w:bCs/>
        </w:rPr>
      </w:pPr>
    </w:p>
    <w:p w:rsidR="00FA7293" w:rsidRDefault="00FA7293">
      <w:pPr>
        <w:ind w:left="852"/>
        <w:jc w:val="both"/>
        <w:rPr>
          <w:b/>
          <w:bCs/>
        </w:rPr>
      </w:pPr>
    </w:p>
    <w:p w:rsidR="00FA7293" w:rsidRDefault="006A073A">
      <w:pPr>
        <w:pStyle w:val="2"/>
        <w:tabs>
          <w:tab w:val="left" w:pos="0"/>
        </w:tabs>
        <w:ind w:left="491"/>
        <w:jc w:val="both"/>
        <w:rPr>
          <w:b w:val="0"/>
          <w:bCs w:val="0"/>
        </w:rPr>
      </w:pPr>
      <w:r>
        <w:t>3.   СМЕЩЕНИЕ АТОМОВ В КРИСТАЛЛИЧЕС-</w:t>
      </w:r>
    </w:p>
    <w:p w:rsidR="00FA7293" w:rsidRDefault="006A073A">
      <w:pPr>
        <w:pStyle w:val="2"/>
        <w:tabs>
          <w:tab w:val="left" w:pos="0"/>
        </w:tabs>
        <w:ind w:firstLine="720"/>
        <w:jc w:val="both"/>
        <w:rPr>
          <w:b w:val="0"/>
          <w:bCs w:val="0"/>
        </w:rPr>
      </w:pPr>
      <w:r>
        <w:t xml:space="preserve">  КОЙ РЕШЁТКЕ ПОД </w:t>
      </w:r>
      <w:r>
        <w:rPr>
          <w:b w:val="0"/>
          <w:bCs w:val="0"/>
        </w:rPr>
        <w:t xml:space="preserve"> </w:t>
      </w:r>
      <w:r>
        <w:t>ДЕЙСТВИЕИОНИЗИРУЮ-</w:t>
      </w:r>
    </w:p>
    <w:p w:rsidR="00FA7293" w:rsidRDefault="006A073A">
      <w:pPr>
        <w:pStyle w:val="2"/>
        <w:tabs>
          <w:tab w:val="left" w:pos="0"/>
        </w:tabs>
        <w:ind w:left="492"/>
        <w:jc w:val="both"/>
        <w:rPr>
          <w:b w:val="0"/>
          <w:bCs w:val="0"/>
        </w:rPr>
      </w:pPr>
      <w:r>
        <w:t xml:space="preserve">      ЩЕГО ИЗЛУЧЕНИЯ </w:t>
      </w:r>
      <w:r>
        <w:rPr>
          <w:b w:val="0"/>
          <w:bCs w:val="0"/>
        </w:rPr>
        <w:t>. . . . . . . . . . . . . . . . . . . . . . . . . . . . . . .</w:t>
      </w:r>
      <w:r>
        <w:t>5.</w:t>
      </w:r>
    </w:p>
    <w:p w:rsidR="00FA7293" w:rsidRDefault="00FA7293">
      <w:pPr>
        <w:ind w:left="852"/>
        <w:jc w:val="both"/>
        <w:rPr>
          <w:b/>
          <w:bCs/>
        </w:rPr>
      </w:pPr>
    </w:p>
    <w:p w:rsidR="00FA7293" w:rsidRDefault="00FA7293">
      <w:pPr>
        <w:ind w:left="852"/>
        <w:jc w:val="both"/>
        <w:rPr>
          <w:b/>
          <w:bCs/>
        </w:rPr>
      </w:pPr>
    </w:p>
    <w:p w:rsidR="00FA7293" w:rsidRDefault="006A073A">
      <w:pPr>
        <w:pStyle w:val="2"/>
        <w:jc w:val="both"/>
      </w:pPr>
      <w:r>
        <w:t xml:space="preserve">       4.   МАТЕРИАЛЫ ДЛЯ ХРАНЕНИЯ РАДИОАКТИВ-</w:t>
      </w:r>
    </w:p>
    <w:p w:rsidR="00FA7293" w:rsidRDefault="006A073A">
      <w:pPr>
        <w:pStyle w:val="2"/>
        <w:jc w:val="both"/>
      </w:pPr>
      <w:r>
        <w:t xml:space="preserve">             НЫХ ОТХОДОВ</w:t>
      </w:r>
      <w:r>
        <w:rPr>
          <w:b w:val="0"/>
          <w:bCs w:val="0"/>
        </w:rPr>
        <w:t xml:space="preserve"> . . . . . . . . . . . . . . . . . . . . . . . . . . . . . . . . . . .</w:t>
      </w:r>
      <w:r>
        <w:t>8.</w:t>
      </w:r>
    </w:p>
    <w:p w:rsidR="00FA7293" w:rsidRDefault="006A073A">
      <w:pPr>
        <w:pStyle w:val="2"/>
        <w:jc w:val="both"/>
      </w:pPr>
      <w:r>
        <w:t xml:space="preserve"> </w:t>
      </w:r>
    </w:p>
    <w:p w:rsidR="00FA7293" w:rsidRDefault="00FA7293">
      <w:pPr>
        <w:pStyle w:val="2"/>
        <w:jc w:val="both"/>
      </w:pPr>
    </w:p>
    <w:p w:rsidR="00FA7293" w:rsidRDefault="006A073A">
      <w:pPr>
        <w:pStyle w:val="2"/>
        <w:numPr>
          <w:ilvl w:val="0"/>
          <w:numId w:val="6"/>
        </w:numPr>
        <w:jc w:val="both"/>
      </w:pPr>
      <w:r>
        <w:t>ИСПОЛЬЗУЕМАЯ ЛИТЕРАТУРА . . . . . . . . . . . . . . . . . .10.</w:t>
      </w:r>
    </w:p>
    <w:p w:rsidR="00FA7293" w:rsidRDefault="00FA7293">
      <w:pPr>
        <w:pStyle w:val="2"/>
        <w:jc w:val="both"/>
      </w:pPr>
    </w:p>
    <w:p w:rsidR="00FA7293" w:rsidRDefault="00FA7293">
      <w:pPr>
        <w:pStyle w:val="2"/>
        <w:jc w:val="both"/>
      </w:pPr>
    </w:p>
    <w:p w:rsidR="00FA7293" w:rsidRDefault="00FA7293">
      <w:pPr>
        <w:pStyle w:val="2"/>
        <w:jc w:val="both"/>
      </w:pPr>
    </w:p>
    <w:p w:rsidR="00FA7293" w:rsidRDefault="00FA7293">
      <w:pPr>
        <w:pStyle w:val="2"/>
        <w:jc w:val="both"/>
      </w:pPr>
    </w:p>
    <w:p w:rsidR="00FA7293" w:rsidRDefault="00FA7293">
      <w:pPr>
        <w:pStyle w:val="2"/>
        <w:jc w:val="both"/>
      </w:pPr>
    </w:p>
    <w:p w:rsidR="00FA7293" w:rsidRDefault="00FA7293">
      <w:pPr>
        <w:pStyle w:val="2"/>
        <w:jc w:val="both"/>
      </w:pPr>
    </w:p>
    <w:p w:rsidR="00FA7293" w:rsidRDefault="00FA7293">
      <w:pPr>
        <w:pStyle w:val="2"/>
        <w:jc w:val="both"/>
      </w:pPr>
    </w:p>
    <w:p w:rsidR="00FA7293" w:rsidRDefault="00FA7293">
      <w:pPr>
        <w:pStyle w:val="2"/>
        <w:jc w:val="both"/>
      </w:pPr>
    </w:p>
    <w:p w:rsidR="00FA7293" w:rsidRDefault="00FA7293">
      <w:pPr>
        <w:pStyle w:val="2"/>
        <w:jc w:val="both"/>
      </w:pPr>
    </w:p>
    <w:p w:rsidR="00FA7293" w:rsidRDefault="00FA7293">
      <w:pPr>
        <w:pStyle w:val="2"/>
        <w:jc w:val="both"/>
      </w:pPr>
    </w:p>
    <w:p w:rsidR="00FA7293" w:rsidRDefault="00FA7293">
      <w:pPr>
        <w:pStyle w:val="2"/>
        <w:jc w:val="both"/>
      </w:pPr>
    </w:p>
    <w:p w:rsidR="00FA7293" w:rsidRDefault="00FA7293">
      <w:pPr>
        <w:pStyle w:val="2"/>
        <w:jc w:val="both"/>
      </w:pPr>
    </w:p>
    <w:p w:rsidR="00FA7293" w:rsidRDefault="00FA7293">
      <w:pPr>
        <w:pStyle w:val="2"/>
        <w:jc w:val="both"/>
      </w:pPr>
    </w:p>
    <w:p w:rsidR="00FA7293" w:rsidRDefault="006A073A">
      <w:pPr>
        <w:jc w:val="center"/>
        <w:rPr>
          <w:sz w:val="24"/>
          <w:szCs w:val="24"/>
        </w:rPr>
      </w:pPr>
      <w:r>
        <w:rPr>
          <w:b/>
          <w:bCs/>
        </w:rPr>
        <w:br w:type="page"/>
      </w:r>
      <w:r>
        <w:rPr>
          <w:b/>
          <w:bCs/>
          <w:sz w:val="24"/>
          <w:szCs w:val="24"/>
        </w:rPr>
        <w:t>ВВЕДЕНИЕ.</w:t>
      </w:r>
    </w:p>
    <w:p w:rsidR="00FA7293" w:rsidRDefault="00FA7293">
      <w:pPr>
        <w:jc w:val="center"/>
        <w:rPr>
          <w:sz w:val="24"/>
          <w:szCs w:val="24"/>
        </w:rPr>
      </w:pP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В настоящее время, в связи сростом производства и возрастанием потребностей человечества происходит рост потребляемой энергии. Однако путь беспощадной эксплуатации внутреземных источников энергии неэкологичен. Безусловно, перспективны поиски и разработки новых источников энергии. К ним в первую очередь относится ядерная энергетика. Использование ядерной энергии сдерживается не столько по соображениям надёжности ядерных реакторов, сколько из-за проблемы создания материалов, подходящих для использования в реакторах. Эти материалы должны удовлетворять следующим требованиям</w:t>
      </w:r>
      <w:r>
        <w:rPr>
          <w:sz w:val="24"/>
          <w:szCs w:val="24"/>
          <w:lang w:val="en-US"/>
        </w:rPr>
        <w:t>:</w:t>
      </w:r>
    </w:p>
    <w:p w:rsidR="00FA7293" w:rsidRDefault="006A073A">
      <w:pPr>
        <w:numPr>
          <w:ilvl w:val="0"/>
          <w:numId w:val="1"/>
        </w:numPr>
        <w:tabs>
          <w:tab w:val="clear" w:pos="648"/>
          <w:tab w:val="num" w:pos="1008"/>
        </w:tabs>
        <w:ind w:left="1008"/>
        <w:jc w:val="both"/>
        <w:rPr>
          <w:sz w:val="24"/>
          <w:szCs w:val="24"/>
        </w:rPr>
      </w:pPr>
      <w:r>
        <w:rPr>
          <w:sz w:val="24"/>
          <w:szCs w:val="24"/>
        </w:rPr>
        <w:t>Стойкость к высоким температурам.</w:t>
      </w:r>
    </w:p>
    <w:p w:rsidR="00FA7293" w:rsidRDefault="006A073A">
      <w:pPr>
        <w:numPr>
          <w:ilvl w:val="0"/>
          <w:numId w:val="1"/>
        </w:numPr>
        <w:tabs>
          <w:tab w:val="clear" w:pos="648"/>
          <w:tab w:val="num" w:pos="1008"/>
        </w:tabs>
        <w:ind w:left="1008"/>
        <w:jc w:val="both"/>
        <w:rPr>
          <w:sz w:val="24"/>
          <w:szCs w:val="24"/>
        </w:rPr>
      </w:pPr>
      <w:r>
        <w:rPr>
          <w:sz w:val="24"/>
          <w:szCs w:val="24"/>
        </w:rPr>
        <w:t>Стойкость к разрушающему воздействию ионизирующего излучения.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>Различные виды излучения, воздействуя на твердые тела, вызывают специфические радиационные дефекты. В настоящее время имеются многочисленные доказательства не только образования дефектов, но и изменения их вида, формы, скорости движения в процессе облучения.</w:t>
      </w:r>
    </w:p>
    <w:p w:rsidR="00FA7293" w:rsidRDefault="00FA7293">
      <w:pPr>
        <w:jc w:val="both"/>
        <w:rPr>
          <w:sz w:val="24"/>
          <w:szCs w:val="24"/>
        </w:rPr>
      </w:pPr>
    </w:p>
    <w:p w:rsidR="00FA7293" w:rsidRDefault="006A073A">
      <w:pPr>
        <w:pStyle w:val="1"/>
        <w:outlineLvl w:val="0"/>
        <w:rPr>
          <w:sz w:val="24"/>
          <w:szCs w:val="24"/>
        </w:rPr>
      </w:pPr>
      <w:r>
        <w:rPr>
          <w:sz w:val="24"/>
          <w:szCs w:val="24"/>
        </w:rPr>
        <w:t>ФИЗИЧЕСКИЕ ПРОЦЕССЫ В ОЛУЧАЕМЫХ</w:t>
      </w:r>
    </w:p>
    <w:p w:rsidR="00FA7293" w:rsidRDefault="006A073A">
      <w:pPr>
        <w:pStyle w:val="1"/>
        <w:outlineLvl w:val="0"/>
        <w:rPr>
          <w:sz w:val="24"/>
          <w:szCs w:val="24"/>
        </w:rPr>
      </w:pPr>
      <w:r>
        <w:rPr>
          <w:sz w:val="24"/>
          <w:szCs w:val="24"/>
        </w:rPr>
        <w:t>МАТЕРИАЛАХ.</w:t>
      </w:r>
    </w:p>
    <w:p w:rsidR="00FA7293" w:rsidRDefault="00FA7293">
      <w:pPr>
        <w:jc w:val="both"/>
        <w:rPr>
          <w:sz w:val="24"/>
          <w:szCs w:val="24"/>
        </w:rPr>
      </w:pPr>
    </w:p>
    <w:p w:rsidR="00FA7293" w:rsidRDefault="006A073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Изучая результаты радиационного повреждения в металлах, следует различать первичные и вторичные эффекты, в результате которых в облучённых материалах образуются дефекты, наблюдаемые экспериментально.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Первичным эффектом повреждения кристаллической решётки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металлов радиацией следует считать передачу одному из атомов решётки достаточно большой кинетической энергии и одновременную передачу дополнительной энергии системе свободных и связанных электронов.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Возбуждённый атом (атом, получивший дополнительную кинетическую энергию) движется сквозь решётку, расталкивая атомы и, оставляет за собой след – область повреждения, которая состоит из смещённых атомов, окружённых облаком возбуждённых электронов. Таким образом, одним из результатов первичного эффекта взаимодействия ионизирующего излучения с веществом является образование вакантных мест в решётке и междоузельных атомов. 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вторичным эффектам облучения, приводящим к наблюдаемым на практике радиационным дефектам определённой конфигурации, следует отнести движение и образование ассоциаций точечных дефектов. Этот процесс зависит от реальной структуры кристаллов (наличия нарушений кристаллической решётки, системы дислокаций, примесей и т. п.) и энергии, переданной системе свободных и связанных электронов.</w:t>
      </w:r>
    </w:p>
    <w:p w:rsidR="00FA7293" w:rsidRDefault="006A073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С этой точки зрения, нет никакой разницы в воздействии на вещество, например, быстрых нейтронов и  </w:t>
      </w:r>
      <w:r>
        <w:rPr>
          <w:position w:val="-10"/>
          <w:sz w:val="24"/>
          <w:szCs w:val="24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9.5pt" o:ole="" fillcolor="window">
            <v:imagedata r:id="rId7" o:title=""/>
          </v:shape>
          <o:OLEObject Type="Embed" ProgID="Equation.3" ShapeID="_x0000_i1025" DrawAspect="Content" ObjectID="_1454298509" r:id="rId8"/>
        </w:object>
      </w:r>
      <w:r>
        <w:rPr>
          <w:sz w:val="24"/>
          <w:szCs w:val="24"/>
        </w:rPr>
        <w:t xml:space="preserve">- излучения. Оба вида излучения воздействуют на весь объём материала, так как проникающая способность нейтронов и  </w:t>
      </w:r>
      <w:r>
        <w:rPr>
          <w:position w:val="-10"/>
          <w:sz w:val="24"/>
          <w:szCs w:val="24"/>
        </w:rPr>
        <w:object w:dxaOrig="200" w:dyaOrig="260">
          <v:shape id="_x0000_i1026" type="#_x0000_t75" style="width:15.75pt;height:19.5pt" o:ole="" fillcolor="window">
            <v:imagedata r:id="rId9" o:title=""/>
          </v:shape>
          <o:OLEObject Type="Embed" ProgID="Equation.3" ShapeID="_x0000_i1026" DrawAspect="Content" ObjectID="_1454298510" r:id="rId10"/>
        </w:objec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 xml:space="preserve">квантов достаточно высока. 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 xml:space="preserve">В </w:t>
      </w:r>
      <w:r>
        <w:rPr>
          <w:sz w:val="24"/>
          <w:szCs w:val="24"/>
        </w:rPr>
        <w:t xml:space="preserve">случае нейтронных потоков смещение атомов вызывают сами нейтроны, в случае </w:t>
      </w:r>
      <w:r>
        <w:rPr>
          <w:position w:val="-10"/>
          <w:sz w:val="24"/>
          <w:szCs w:val="24"/>
        </w:rPr>
        <w:object w:dxaOrig="200" w:dyaOrig="260">
          <v:shape id="_x0000_i1027" type="#_x0000_t75" style="width:15pt;height:19.5pt" o:ole="" fillcolor="window">
            <v:imagedata r:id="rId7" o:title=""/>
          </v:shape>
          <o:OLEObject Type="Embed" ProgID="Equation.3" ShapeID="_x0000_i1027" DrawAspect="Content" ObjectID="_1454298511" r:id="rId11"/>
        </w:object>
      </w:r>
      <w:r>
        <w:rPr>
          <w:sz w:val="24"/>
          <w:szCs w:val="24"/>
        </w:rPr>
        <w:t xml:space="preserve">- излучения – вторичные электроны. Разница в том, что электроны, образованные </w:t>
      </w:r>
      <w:r>
        <w:rPr>
          <w:position w:val="-10"/>
          <w:sz w:val="24"/>
          <w:szCs w:val="24"/>
        </w:rPr>
        <w:object w:dxaOrig="200" w:dyaOrig="260">
          <v:shape id="_x0000_i1028" type="#_x0000_t75" style="width:15pt;height:19.5pt" o:ole="" fillcolor="window">
            <v:imagedata r:id="rId7" o:title=""/>
          </v:shape>
          <o:OLEObject Type="Embed" ProgID="Equation.3" ShapeID="_x0000_i1028" DrawAspect="Content" ObjectID="_1454298512" r:id="rId12"/>
        </w:object>
      </w:r>
      <w:r>
        <w:rPr>
          <w:sz w:val="24"/>
          <w:szCs w:val="24"/>
        </w:rPr>
        <w:t xml:space="preserve">- квантами, вызывают единичные смещения, а нейтроны – каскады вторичных и более высокого порядка смещений. Расчеты показывают, что нейтрон вызывает на два-три порядка больше точечных дефектов, чем электрон или </w:t>
      </w:r>
      <w:r>
        <w:rPr>
          <w:position w:val="-10"/>
          <w:sz w:val="24"/>
          <w:szCs w:val="24"/>
        </w:rPr>
        <w:object w:dxaOrig="200" w:dyaOrig="260">
          <v:shape id="_x0000_i1029" type="#_x0000_t75" style="width:15pt;height:19.5pt" o:ole="" fillcolor="window">
            <v:imagedata r:id="rId7" o:title=""/>
          </v:shape>
          <o:OLEObject Type="Embed" ProgID="Equation.3" ShapeID="_x0000_i1029" DrawAspect="Content" ObjectID="_1454298513" r:id="rId13"/>
        </w:object>
      </w:r>
      <w:r>
        <w:rPr>
          <w:sz w:val="24"/>
          <w:szCs w:val="24"/>
        </w:rPr>
        <w:t xml:space="preserve">- квант, рождающий быстрый электрон. Одновременно с генерацией точечных дефектов нейтроны и </w:t>
      </w:r>
      <w:r>
        <w:rPr>
          <w:position w:val="-10"/>
          <w:sz w:val="24"/>
          <w:szCs w:val="24"/>
        </w:rPr>
        <w:object w:dxaOrig="200" w:dyaOrig="260">
          <v:shape id="_x0000_i1030" type="#_x0000_t75" style="width:15pt;height:19.5pt" o:ole="" fillcolor="window">
            <v:imagedata r:id="rId7" o:title=""/>
          </v:shape>
          <o:OLEObject Type="Embed" ProgID="Equation.3" ShapeID="_x0000_i1030" DrawAspect="Content" ObjectID="_1454298514" r:id="rId14"/>
        </w:object>
      </w:r>
      <w:r>
        <w:rPr>
          <w:sz w:val="24"/>
          <w:szCs w:val="24"/>
        </w:rPr>
        <w:t>- кванты передают определённую часть своей энергии электронам кристаллической решётки. Свободная энергия металлической системы повышается, и при этом понижается энергия активации процессов, связанных с перемещением атомов и дефектов. В результате увеличения подвижности атомов и дефектов, а также в зависимости от физических и атомных параметров вещества и некоторых внешних факторов, может образоваться многообразие наблюдаемых методами электронной микроскопии радиационных дефектов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ассоциации вакансий и междоузельных атомов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дискообразные скопления точечных дефектов, захлопывающихся в определённых условиях в петли                                            дислокаций, и многие другие дефекты.</w:t>
      </w:r>
    </w:p>
    <w:p w:rsidR="00FA7293" w:rsidRDefault="006A07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Увеличению подвижности точечных дефектов и атомов может способствовать и перераспределение относительной плотности свободных и локализованных электронов в микрообластях кристалла, возникающие как в результате образования радиационных дефектов, так и вследствие возникновения динамической дополнительной подвижности элементов системы. Как свидетельствуют опыты, значительно увеличивается подвижность атомов в зонах радиационных повреждений, создаваемых быстрыми заряженными частицами, осколками деления, либо ионизированными смещёнными атомами.</w:t>
      </w:r>
    </w:p>
    <w:p w:rsidR="00FA7293" w:rsidRDefault="006A07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Динамика образования определённого сложного радиационного дефекта зависит от параметров подвижности атомов и дефектов в металлическом твёрдом теле в процессе облучения. Немаловажное значение в увеличении подвижности дефектов, вероятно, играет и наведённое излучением электронное возбуждение, так как в области низких температур термодинамика предсказывает чрезвычайно низкие диффузионные характеристики атомов и дефектов, в то время как при облучении даже в области низких температур иногда наблюдаются ассоциации дефектов, которые могут образоваться только в результате диффузионного перемещения атомов либо дефектов.</w:t>
      </w:r>
    </w:p>
    <w:p w:rsidR="00FA7293" w:rsidRDefault="006A07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достаточно высокой температуре, дефекты претерпевают ряд превращений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взаимно уничтожаются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часть дефектов может выходить на поверхность металла или границы зёрен. Если дефекты адсорбируются дислокацией, то это приводит к закреплению последних. Если поглощённых дефектов много, они перемещаются вдоль линии дислокации и, собираясь вместе, образуют зубцы, тормозящие движение дислокаций. В результате поглощения дефектов дислокация закрепляется, упрочняется материал.</w:t>
      </w:r>
    </w:p>
    <w:p w:rsidR="00FA7293" w:rsidRDefault="006A07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Точечные дефекты могут не только адсорбироваться дислокациями, но и объединяться, образуя дивакансии, тройные вакансии и комплексы вакансий. На дальних расстояниях вакансии не взаимодействуют, но при встрече они могут объединяться в прочный комплекс (его образование происходит с понижением энергии всей системы). Образованные поливакансии испытывают рост. Отдельные вакансии, непосредственно сливаясь в плоскости слоя или образуя сначала сферические полости, которые в дальнейшем сплющиваются, переходят в своеобразные кольцевые дислокации. Кольцевая дислокация может поворачиваться, подвижность её ограничена и носит диффузионный характер (дислокация может расти и уменьшаться в результате механизма переползания). Существенно важно, что кольцевая дислокация препятствует движению дислокаций обычного типа – краевых и винтовых. Появление кольцевых дислокаций упрочняет металл. Такие кольцевые дислокации действительно наблюдаются с помощью электронного микроскопа.</w:t>
      </w:r>
    </w:p>
    <w:p w:rsidR="00FA7293" w:rsidRDefault="00FA7293">
      <w:pPr>
        <w:ind w:firstLine="720"/>
        <w:jc w:val="both"/>
        <w:rPr>
          <w:sz w:val="24"/>
          <w:szCs w:val="24"/>
        </w:rPr>
      </w:pPr>
    </w:p>
    <w:p w:rsidR="00FA7293" w:rsidRDefault="006A073A">
      <w:pPr>
        <w:pStyle w:val="2"/>
        <w:rPr>
          <w:sz w:val="24"/>
          <w:szCs w:val="24"/>
        </w:rPr>
      </w:pPr>
      <w:r>
        <w:rPr>
          <w:sz w:val="24"/>
          <w:szCs w:val="24"/>
        </w:rPr>
        <w:t>СМЕЩЕНИЕ АТОМОВ В КРИСТАЛЛИЧЕСКОЙ      РЕШЁТКЕ ПОД ДЕЙСТВИЕМ ИОНИЗИРУЮЩЕГО ИЗЛУЧЕНИЯ.</w:t>
      </w:r>
    </w:p>
    <w:p w:rsidR="00FA7293" w:rsidRDefault="00FA7293">
      <w:pPr>
        <w:pStyle w:val="2"/>
        <w:ind w:firstLine="720"/>
        <w:rPr>
          <w:sz w:val="24"/>
          <w:szCs w:val="24"/>
        </w:rPr>
      </w:pPr>
    </w:p>
    <w:p w:rsidR="00FA7293" w:rsidRDefault="006A07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теперь некоторые вопросы теории смещения атомов в результате воздействия радиации на кристаллическую решётку твёрдых тел.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упругом столкновении бомбардирующей частицы с атомом, последний в некоторых случаях приобретает энергию </w:t>
      </w:r>
      <w:r>
        <w:rPr>
          <w:position w:val="-10"/>
          <w:sz w:val="24"/>
          <w:szCs w:val="24"/>
        </w:rPr>
        <w:object w:dxaOrig="340" w:dyaOrig="340">
          <v:shape id="_x0000_i1031" type="#_x0000_t75" style="width:19.5pt;height:19.5pt" o:ole="" fillcolor="window">
            <v:imagedata r:id="rId15" o:title=""/>
          </v:shape>
          <o:OLEObject Type="Embed" ProgID="Equation.3" ShapeID="_x0000_i1031" DrawAspect="Content" ObjectID="_1454298515" r:id="rId16"/>
        </w:object>
      </w:r>
      <w:r>
        <w:rPr>
          <w:sz w:val="24"/>
          <w:szCs w:val="24"/>
        </w:rPr>
        <w:t xml:space="preserve">, превышающую некоторую энергию, которая называется </w:t>
      </w:r>
      <w:r>
        <w:rPr>
          <w:b/>
          <w:bCs/>
          <w:i/>
          <w:iCs/>
          <w:sz w:val="24"/>
          <w:szCs w:val="24"/>
        </w:rPr>
        <w:t>пороговой энергией смещения</w:t>
      </w: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340" w:dyaOrig="360">
          <v:shape id="_x0000_i1032" type="#_x0000_t75" style="width:21pt;height:21.75pt" o:ole="" fillcolor="window">
            <v:imagedata r:id="rId17" o:title=""/>
          </v:shape>
          <o:OLEObject Type="Embed" ProgID="Equation.3" ShapeID="_x0000_i1032" DrawAspect="Content" ObjectID="_1454298516" r:id="rId18"/>
        </w:object>
      </w:r>
      <w:r>
        <w:rPr>
          <w:sz w:val="24"/>
          <w:szCs w:val="24"/>
        </w:rPr>
        <w:t>. В таком случае возбуждённый атом покидает своё место в решётке. При этом он может пройти одно или несколько межатомных расстояний, пока не остановится в междоузлии. В момент перемещения такой атом теряет связь с решёткой, но оказывает возбуждающее влияние на электронные связи атомов окружения. Образуется пара типа Френкеля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вакансия – междоузельный атом. </w:t>
      </w:r>
      <w:r>
        <w:rPr>
          <w:position w:val="-12"/>
          <w:sz w:val="24"/>
          <w:szCs w:val="24"/>
        </w:rPr>
        <w:object w:dxaOrig="340" w:dyaOrig="360">
          <v:shape id="_x0000_i1033" type="#_x0000_t75" style="width:21pt;height:21.75pt" o:ole="" fillcolor="window">
            <v:imagedata r:id="rId17" o:title=""/>
          </v:shape>
          <o:OLEObject Type="Embed" ProgID="Equation.3" ShapeID="_x0000_i1033" DrawAspect="Content" ObjectID="_1454298517" r:id="rId19"/>
        </w:object>
      </w:r>
      <w:r>
        <w:rPr>
          <w:sz w:val="24"/>
          <w:szCs w:val="24"/>
        </w:rPr>
        <w:t xml:space="preserve"> для обычных металлов находится в пределах 20 – 40 эВ. Если </w:t>
      </w:r>
      <w:r>
        <w:rPr>
          <w:position w:val="-10"/>
          <w:sz w:val="24"/>
          <w:szCs w:val="24"/>
        </w:rPr>
        <w:object w:dxaOrig="340" w:dyaOrig="340">
          <v:shape id="_x0000_i1034" type="#_x0000_t75" style="width:18pt;height:18pt" o:ole="" fillcolor="window">
            <v:imagedata r:id="rId20" o:title=""/>
          </v:shape>
          <o:OLEObject Type="Embed" ProgID="Equation.3" ShapeID="_x0000_i1034" DrawAspect="Content" ObjectID="_1454298518" r:id="rId21"/>
        </w:object>
      </w:r>
      <w:r>
        <w:rPr>
          <w:sz w:val="24"/>
          <w:szCs w:val="24"/>
        </w:rPr>
        <w:sym w:font="Symbol" w:char="F07E"/>
      </w:r>
      <w:r>
        <w:rPr>
          <w:position w:val="-12"/>
          <w:sz w:val="24"/>
          <w:szCs w:val="24"/>
        </w:rPr>
        <w:object w:dxaOrig="340" w:dyaOrig="360">
          <v:shape id="_x0000_i1035" type="#_x0000_t75" style="width:21pt;height:21.75pt" o:ole="" fillcolor="window">
            <v:imagedata r:id="rId17" o:title=""/>
          </v:shape>
          <o:OLEObject Type="Embed" ProgID="Equation.3" ShapeID="_x0000_i1035" DrawAspect="Content" ObjectID="_1454298519" r:id="rId22"/>
        </w:object>
      </w:r>
      <w:r>
        <w:rPr>
          <w:sz w:val="24"/>
          <w:szCs w:val="24"/>
        </w:rPr>
        <w:t>, то образуется одна пара Френкеля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при </w:t>
      </w:r>
      <w:r>
        <w:rPr>
          <w:position w:val="-10"/>
          <w:sz w:val="24"/>
          <w:szCs w:val="24"/>
        </w:rPr>
        <w:object w:dxaOrig="340" w:dyaOrig="340">
          <v:shape id="_x0000_i1036" type="#_x0000_t75" style="width:19.5pt;height:19.5pt" o:ole="" fillcolor="window">
            <v:imagedata r:id="rId15" o:title=""/>
          </v:shape>
          <o:OLEObject Type="Embed" ProgID="Equation.3" ShapeID="_x0000_i1036" DrawAspect="Content" ObjectID="_1454298520" r:id="rId23"/>
        </w:object>
      </w:r>
      <w:r>
        <w:rPr>
          <w:sz w:val="24"/>
          <w:szCs w:val="24"/>
          <w:lang w:val="en-US"/>
        </w:rPr>
        <w:t>&gt;&gt;</w:t>
      </w:r>
      <w:r>
        <w:rPr>
          <w:position w:val="-12"/>
          <w:sz w:val="24"/>
          <w:szCs w:val="24"/>
        </w:rPr>
        <w:object w:dxaOrig="340" w:dyaOrig="360">
          <v:shape id="_x0000_i1037" type="#_x0000_t75" style="width:21pt;height:21.75pt" o:ole="" fillcolor="window">
            <v:imagedata r:id="rId17" o:title=""/>
          </v:shape>
          <o:OLEObject Type="Embed" ProgID="Equation.3" ShapeID="_x0000_i1037" DrawAspect="Content" ObjectID="_1454298521" r:id="rId24"/>
        </w:object>
      </w:r>
      <w:r>
        <w:rPr>
          <w:sz w:val="24"/>
          <w:szCs w:val="24"/>
        </w:rPr>
        <w:t xml:space="preserve"> создаётся два, три или целый каскад дефектов такого же типа.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Если кристаллическая решётка облучается потоком тяжёлых частиц, то энергия, получаемая атомом вещества, достигает больших значений, и вблизи конца пути первично выбитого атома среднее расстояние между соударениями в плотноупакованных кристаллических решётках должно быть приблизительно равно среднему межатомному расстоянию. В этом случае атом на пути первично выбитого атома смещается со своего места и образуется область сильного искажения, интерпретируемая как пик смещения.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облучении материалов нейтронами спектра реактора либо тяжёлыми частицами с большой энергией кристаллическая решётка испытывает огромное число элементарных повреждений.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Несмотря на отсутствие корректной теории, учитывающей коллективные процессы и совокупность взаимодействий в решётке, усреднённое число смещённых атомов можно оценить довольно точно с помощью очень простой модели, основанной на представлении о парных столкновениях. 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Одной из характеристик столкновения является энергия, передаваемая бомбардируемому атому. В зависимости от геометрических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параметров столкновения (взаимного направления движения частицы  и  колебания  атома)  она  может   меняться  от  нуля,   при </w:t>
      </w:r>
    </w:p>
    <w:p w:rsidR="00FA7293" w:rsidRDefault="00FA7293">
      <w:pPr>
        <w:jc w:val="both"/>
        <w:rPr>
          <w:sz w:val="24"/>
          <w:szCs w:val="24"/>
        </w:rPr>
      </w:pP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столкновениях под очень малым углом, до максимальной величины </w:t>
      </w:r>
      <w:r>
        <w:rPr>
          <w:position w:val="-12"/>
          <w:sz w:val="24"/>
          <w:szCs w:val="24"/>
        </w:rPr>
        <w:object w:dxaOrig="499" w:dyaOrig="360">
          <v:shape id="_x0000_i1038" type="#_x0000_t75" style="width:24.75pt;height:18pt" o:ole="" fillcolor="window">
            <v:imagedata r:id="rId25" o:title=""/>
          </v:shape>
          <o:OLEObject Type="Embed" ProgID="Equation.3" ShapeID="_x0000_i1038" DrawAspect="Content" ObjectID="_1454298522" r:id="rId26"/>
        </w:object>
      </w:r>
      <w:r>
        <w:rPr>
          <w:sz w:val="24"/>
          <w:szCs w:val="24"/>
        </w:rPr>
        <w:t xml:space="preserve">, при лобовом столкновении. Из законов сохранения энергии и импульса при упругом столкновении </w:t>
      </w:r>
      <w:r>
        <w:rPr>
          <w:position w:val="-12"/>
          <w:sz w:val="24"/>
          <w:szCs w:val="24"/>
        </w:rPr>
        <w:object w:dxaOrig="499" w:dyaOrig="360">
          <v:shape id="_x0000_i1039" type="#_x0000_t75" style="width:28.5pt;height:19.5pt" o:ole="" fillcolor="window">
            <v:imagedata r:id="rId25" o:title=""/>
          </v:shape>
          <o:OLEObject Type="Embed" ProgID="Equation.3" ShapeID="_x0000_i1039" DrawAspect="Content" ObjectID="_1454298523" r:id="rId27"/>
        </w:object>
      </w:r>
      <w:r>
        <w:rPr>
          <w:sz w:val="24"/>
          <w:szCs w:val="24"/>
        </w:rPr>
        <w:t xml:space="preserve"> определяется соотношением</w:t>
      </w:r>
    </w:p>
    <w:p w:rsidR="00FA7293" w:rsidRDefault="006A073A">
      <w:pPr>
        <w:jc w:val="center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2460" w:dyaOrig="380">
          <v:shape id="_x0000_i1040" type="#_x0000_t75" style="width:145.5pt;height:21.75pt" o:ole="" fillcolor="window">
            <v:imagedata r:id="rId28" o:title=""/>
          </v:shape>
          <o:OLEObject Type="Embed" ProgID="Equation.3" ShapeID="_x0000_i1040" DrawAspect="Content" ObjectID="_1454298524" r:id="rId29"/>
        </w:object>
      </w:r>
      <w:r>
        <w:rPr>
          <w:sz w:val="24"/>
          <w:szCs w:val="24"/>
        </w:rPr>
        <w:t>,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Е и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– энергия и масса взаимодействующей быстрой частицы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М – масса атома вещества.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электронов с высокой энергией (Е</w:t>
      </w:r>
      <w:r>
        <w:rPr>
          <w:sz w:val="24"/>
          <w:szCs w:val="24"/>
          <w:lang w:val="en-US"/>
        </w:rPr>
        <w:t xml:space="preserve"> &gt;&gt; 1 МэВ)</w:t>
      </w:r>
      <w:r>
        <w:rPr>
          <w:sz w:val="24"/>
          <w:szCs w:val="24"/>
        </w:rPr>
        <w:t xml:space="preserve"> следует учитывать релятивистские эффекты. В этом случае предыдущее выражение превращается в</w:t>
      </w:r>
    </w:p>
    <w:p w:rsidR="00FA7293" w:rsidRDefault="006A073A">
      <w:pPr>
        <w:jc w:val="center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2980" w:dyaOrig="380">
          <v:shape id="_x0000_i1041" type="#_x0000_t75" style="width:169.5pt;height:21.75pt" o:ole="" fillcolor="window">
            <v:imagedata r:id="rId30" o:title=""/>
          </v:shape>
          <o:OLEObject Type="Embed" ProgID="Equation.3" ShapeID="_x0000_i1041" DrawAspect="Content" ObjectID="_1454298525" r:id="rId31"/>
        </w:object>
      </w:r>
      <w:r>
        <w:rPr>
          <w:sz w:val="24"/>
          <w:szCs w:val="24"/>
        </w:rPr>
        <w:t>.</w:t>
      </w:r>
    </w:p>
    <w:p w:rsidR="00FA7293" w:rsidRDefault="006A073A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В случае столкновения с тяжёлой частицей высокой энергии можно ожидать возникновение каскада смещений. Среднее число атомных смещений рассчитывается в простейшем случае по формуле</w:t>
      </w:r>
    </w:p>
    <w:p w:rsidR="00FA7293" w:rsidRDefault="006A073A">
      <w:pPr>
        <w:jc w:val="center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1700" w:dyaOrig="400">
          <v:shape id="_x0000_i1042" type="#_x0000_t75" style="width:121.5pt;height:24.75pt" o:ole="" fillcolor="window">
            <v:imagedata r:id="rId32" o:title=""/>
          </v:shape>
          <o:OLEObject Type="Embed" ProgID="Equation.3" ShapeID="_x0000_i1042" DrawAspect="Content" ObjectID="_1454298526" r:id="rId33"/>
        </w:object>
      </w:r>
      <w:r>
        <w:rPr>
          <w:sz w:val="24"/>
          <w:szCs w:val="24"/>
        </w:rPr>
        <w:t>,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10"/>
          <w:sz w:val="24"/>
          <w:szCs w:val="24"/>
        </w:rPr>
        <w:object w:dxaOrig="220" w:dyaOrig="260">
          <v:shape id="_x0000_i1043" type="#_x0000_t75" style="width:11.25pt;height:12.75pt" o:ole="" fillcolor="window">
            <v:imagedata r:id="rId34" o:title=""/>
          </v:shape>
          <o:OLEObject Type="Embed" ProgID="Equation.3" ShapeID="_x0000_i1043" DrawAspect="Content" ObjectID="_1454298527" r:id="rId35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плотность потока ионизирующего излучения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– время облучения</w:t>
      </w:r>
      <w:r>
        <w:rPr>
          <w:sz w:val="24"/>
          <w:szCs w:val="24"/>
          <w:lang w:val="en-US"/>
        </w:rPr>
        <w:t xml:space="preserve">; </w:t>
      </w:r>
      <w:r>
        <w:rPr>
          <w:position w:val="-12"/>
          <w:sz w:val="24"/>
          <w:szCs w:val="24"/>
          <w:lang w:val="en-US"/>
        </w:rPr>
        <w:object w:dxaOrig="460" w:dyaOrig="360">
          <v:shape id="_x0000_i1044" type="#_x0000_t75" style="width:23.25pt;height:18pt" o:ole="" fillcolor="window">
            <v:imagedata r:id="rId36" o:title=""/>
          </v:shape>
          <o:OLEObject Type="Embed" ProgID="Equation.3" ShapeID="_x0000_i1044" DrawAspect="Content" ObjectID="_1454298528" r:id="rId37"/>
        </w:objec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 xml:space="preserve">число атомов в единице объема; </w:t>
      </w:r>
      <w:r>
        <w:rPr>
          <w:i/>
          <w:iCs/>
          <w:sz w:val="24"/>
          <w:szCs w:val="24"/>
        </w:rPr>
        <w:t>σ</w:t>
      </w:r>
      <w:r>
        <w:rPr>
          <w:i/>
          <w:iCs/>
          <w:sz w:val="24"/>
          <w:szCs w:val="24"/>
          <w:vertAlign w:val="subscript"/>
          <w:lang w:val="en-US"/>
        </w:rPr>
        <w:t>d1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сечение столкновений, вызывающих смещения;</w:t>
      </w:r>
      <w:r>
        <w:rPr>
          <w:position w:val="-6"/>
          <w:sz w:val="24"/>
          <w:szCs w:val="24"/>
        </w:rPr>
        <w:object w:dxaOrig="200" w:dyaOrig="360">
          <v:shape id="_x0000_i1045" type="#_x0000_t75" style="width:9.75pt;height:18pt" o:ole="" fillcolor="window">
            <v:imagedata r:id="rId38" o:title=""/>
          </v:shape>
          <o:OLEObject Type="Embed" ProgID="Equation.3" ShapeID="_x0000_i1045" DrawAspect="Content" ObjectID="_1454298529" r:id="rId39"/>
        </w:object>
      </w:r>
      <w:r>
        <w:rPr>
          <w:sz w:val="24"/>
          <w:szCs w:val="24"/>
        </w:rPr>
        <w:t>- среднее число смещений на один первично смещенный атом.</w:t>
      </w:r>
    </w:p>
    <w:p w:rsidR="00FA7293" w:rsidRDefault="006A073A">
      <w:pPr>
        <w:jc w:val="center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200" w:dyaOrig="380">
          <v:shape id="_x0000_i1046" type="#_x0000_t75" style="width:9.75pt;height:18.75pt" o:ole="" fillcolor="window">
            <v:imagedata r:id="rId40" o:title=""/>
          </v:shape>
          <o:OLEObject Type="Embed" ProgID="Equation.3" ShapeID="_x0000_i1046" DrawAspect="Content" ObjectID="_1454298530" r:id="rId41"/>
        </w:object>
      </w:r>
      <w:r>
        <w:rPr>
          <w:position w:val="-10"/>
          <w:sz w:val="24"/>
          <w:szCs w:val="24"/>
        </w:rPr>
        <w:object w:dxaOrig="1460" w:dyaOrig="400">
          <v:shape id="_x0000_i1047" type="#_x0000_t75" style="width:72.75pt;height:20.25pt" o:ole="" fillcolor="window">
            <v:imagedata r:id="rId42" o:title=""/>
          </v:shape>
          <o:OLEObject Type="Embed" ProgID="Equation.3" ShapeID="_x0000_i1047" DrawAspect="Content" ObjectID="_1454298531" r:id="rId43"/>
        </w:objec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</w:t>
      </w:r>
      <w:r>
        <w:rPr>
          <w:position w:val="-8"/>
          <w:sz w:val="24"/>
          <w:szCs w:val="24"/>
          <w:lang w:val="en-US"/>
        </w:rPr>
        <w:object w:dxaOrig="360" w:dyaOrig="380">
          <v:shape id="_x0000_i1048" type="#_x0000_t75" style="width:18pt;height:18.75pt" o:ole="" fillcolor="window">
            <v:imagedata r:id="rId44" o:title=""/>
          </v:shape>
          <o:OLEObject Type="Embed" ProgID="Equation.3" ShapeID="_x0000_i1048" DrawAspect="Content" ObjectID="_1454298532" r:id="rId45"/>
        </w:objec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 xml:space="preserve">средняя энергия, передаваемая атому быстрой частицей. Величина 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  <w:vertAlign w:val="subscript"/>
          <w:lang w:val="en-US"/>
        </w:rPr>
        <w:t>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зависит от направления смещения относительно кристаллографических осей кристалла, что связано с анизотропией сил связи, а также  от природы сил связи атомов в решетке.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Среднее число вторичных смещений</w:t>
      </w:r>
    </w:p>
    <w:p w:rsidR="00FA7293" w:rsidRDefault="006A073A">
      <w:pPr>
        <w:jc w:val="center"/>
        <w:rPr>
          <w:sz w:val="24"/>
          <w:szCs w:val="24"/>
        </w:rPr>
      </w:pPr>
      <w:r>
        <w:rPr>
          <w:position w:val="-54"/>
          <w:sz w:val="24"/>
          <w:szCs w:val="24"/>
        </w:rPr>
        <w:object w:dxaOrig="2320" w:dyaOrig="1219">
          <v:shape id="_x0000_i1049" type="#_x0000_t75" style="width:116.25pt;height:60.75pt" o:ole="" fillcolor="window">
            <v:imagedata r:id="rId46" o:title=""/>
          </v:shape>
          <o:OLEObject Type="Embed" ProgID="Equation.3" ShapeID="_x0000_i1049" DrawAspect="Content" ObjectID="_1454298533" r:id="rId47"/>
        </w:object>
      </w:r>
      <w:r>
        <w:rPr>
          <w:sz w:val="24"/>
          <w:szCs w:val="24"/>
        </w:rPr>
        <w:t xml:space="preserve"> ,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>f(n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) – функция относительного числа электронов, участвующих в ковалентной связи, на один атом, f(n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) – функция относительной концентрации свободных электронов на один атом.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Скорость возникновения радиационных дефектов</w:t>
      </w:r>
    </w:p>
    <w:p w:rsidR="00FA7293" w:rsidRDefault="006A073A">
      <w:pPr>
        <w:jc w:val="center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920" w:dyaOrig="340">
          <v:shape id="_x0000_i1050" type="#_x0000_t75" style="width:45.75pt;height:17.25pt" o:ole="" fillcolor="window">
            <v:imagedata r:id="rId48" o:title=""/>
          </v:shape>
          <o:OLEObject Type="Embed" ProgID="Equation.3" ShapeID="_x0000_i1050" DrawAspect="Content" ObjectID="_1454298534" r:id="rId49"/>
        </w:object>
      </w:r>
      <w:r>
        <w:rPr>
          <w:sz w:val="24"/>
          <w:szCs w:val="24"/>
        </w:rPr>
        <w:t>,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</w:p>
    <w:p w:rsidR="00FA7293" w:rsidRDefault="006A073A">
      <w:pPr>
        <w:jc w:val="both"/>
        <w:rPr>
          <w:sz w:val="24"/>
          <w:szCs w:val="24"/>
        </w:rPr>
      </w:pPr>
      <w:r>
        <w:rPr>
          <w:position w:val="-6"/>
          <w:sz w:val="24"/>
          <w:szCs w:val="24"/>
        </w:rPr>
        <w:object w:dxaOrig="300" w:dyaOrig="240">
          <v:shape id="_x0000_i1051" type="#_x0000_t75" style="width:15pt;height:12pt" o:ole="" fillcolor="window">
            <v:imagedata r:id="rId50" o:title=""/>
          </v:shape>
          <o:OLEObject Type="Embed" ProgID="Equation.3" ShapeID="_x0000_i1051" DrawAspect="Content" ObjectID="_1454298535" r:id="rId51"/>
        </w:object>
      </w:r>
      <w:r>
        <w:rPr>
          <w:sz w:val="24"/>
          <w:szCs w:val="24"/>
        </w:rPr>
        <w:t xml:space="preserve"> - сечение смещения.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Помимо точечных дефектов и их конфигураций, в электронном газе кристаллической решетки металла возникают локальные возбуждения (наводимые как самими дефектами, так и излучением), которые гипотетически могут оказать влияние на термодинамические контакты системы, либо ее нескольких участков. Это, в свою очередь, может привести к увеличению наблюдаемой подвижности вновь образованных радиационных точечных дефектов и существовавших до облучения дефектов кристаллического строения. Этим, отчасти, можно объяснить образование ассоциаций точечных дефектов в виде петель дислокации и кластеров под воздействием облучения даже в области низких температур.</w:t>
      </w:r>
    </w:p>
    <w:p w:rsidR="00FA7293" w:rsidRDefault="006A073A">
      <w:pPr>
        <w:pStyle w:val="a7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Весь спектр дефектов, наблюдаемых в металлических твердых телах после облучения с помощью методов электронной и ионной микроскопии, образуется из первичных радиационных дефектов – пар Френнеля – в результате их взаимодействия между собой и с существующими в материале дефектами кристаллического строения, а также под воздействием локальных возбуждений в электронной подсистеме кристаллической решетки, инициируемых после радиации</w:t>
      </w:r>
      <w:r>
        <w:rPr>
          <w:sz w:val="24"/>
          <w:szCs w:val="24"/>
          <w:lang w:val="en-US"/>
        </w:rPr>
        <w:t>.</w:t>
      </w:r>
    </w:p>
    <w:p w:rsidR="00FA7293" w:rsidRDefault="006A073A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 xml:space="preserve">Рассмотренные эффекты, возникающие при смещении атомов в каскаде столкновений обычно называют </w:t>
      </w:r>
      <w:r>
        <w:rPr>
          <w:b/>
          <w:bCs/>
          <w:i/>
          <w:iCs/>
          <w:sz w:val="24"/>
          <w:szCs w:val="24"/>
        </w:rPr>
        <w:t>нарушения смещения</w:t>
      </w:r>
      <w:r>
        <w:rPr>
          <w:sz w:val="24"/>
          <w:szCs w:val="24"/>
        </w:rPr>
        <w:t>. Совершенно иной тип нарушений связан с примесными атомами, введенными или в результате превращений ядер мишени, или вследствие того, что бомбардирующий ион тормозится в образце. Такие дефекты называются примесными нарушениями.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Впервые практические проблемы примесного нарушения возникли при изучении материалов для ядерных реакторов. Было обнаружено, например, что металлический уран, облученный при температуре, несколько большей 500 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С,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существенно увеличивает свой объем. Металлографическое исследование выявило в этом случае наличие в металле мелких пор, заполненных инертными газами. Инертные газы в большом количестве образуются в реакторе при делении урана.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Все эти нарушения очень сильно влияют на свойства материалов.</w:t>
      </w:r>
    </w:p>
    <w:p w:rsidR="00FA7293" w:rsidRDefault="00FA7293">
      <w:pPr>
        <w:jc w:val="both"/>
        <w:rPr>
          <w:sz w:val="24"/>
          <w:szCs w:val="24"/>
        </w:rPr>
      </w:pPr>
    </w:p>
    <w:p w:rsidR="00FA7293" w:rsidRDefault="006A073A">
      <w:pPr>
        <w:pStyle w:val="2"/>
        <w:rPr>
          <w:sz w:val="24"/>
          <w:szCs w:val="24"/>
        </w:rPr>
      </w:pPr>
      <w:r>
        <w:rPr>
          <w:sz w:val="24"/>
          <w:szCs w:val="24"/>
        </w:rPr>
        <w:t>МАТЕРИАЛЫ ДЛЯ ХРАНЕНИЯ РАДИОАКТИВНЫХ ОТХОДОВ.</w:t>
      </w:r>
    </w:p>
    <w:p w:rsidR="00FA7293" w:rsidRDefault="00FA7293">
      <w:pPr>
        <w:rPr>
          <w:sz w:val="24"/>
          <w:szCs w:val="24"/>
          <w:lang w:val="en-US"/>
        </w:rPr>
      </w:pP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>Немалые трудности возникают также и с захоронением радиоактивных отходов. Общепринятый подход к разработке материалов для этих целей состоит из трех стадий:</w:t>
      </w:r>
    </w:p>
    <w:p w:rsidR="00FA7293" w:rsidRDefault="006A073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Отходы вводятся в относительно нерастворимое химически стойкое вещество.</w:t>
      </w:r>
    </w:p>
    <w:p w:rsidR="00FA7293" w:rsidRDefault="006A073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Это вещество заключают в герметичный контейнер.</w:t>
      </w:r>
    </w:p>
    <w:p w:rsidR="00FA7293" w:rsidRDefault="006A073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Контейнеры захоранивают в сухой и стабильной геологической структуре.</w:t>
      </w:r>
    </w:p>
    <w:p w:rsidR="00FA7293" w:rsidRDefault="006A073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первой стадии применялись и применяются боросиликатное стекло и боросиликатная керамика. Главное требование, предъявляемое к такой керамике – сильная поглощающая способность по отношению к ядерным частицам – нейтронам и </w:t>
      </w:r>
      <w:r>
        <w:rPr>
          <w:position w:val="-10"/>
          <w:sz w:val="24"/>
          <w:szCs w:val="24"/>
        </w:rPr>
        <w:object w:dxaOrig="200" w:dyaOrig="260">
          <v:shape id="_x0000_i1052" type="#_x0000_t75" style="width:9.75pt;height:12.75pt" o:ole="" fillcolor="window">
            <v:imagedata r:id="rId52" o:title=""/>
          </v:shape>
          <o:OLEObject Type="Embed" ProgID="Equation.3" ShapeID="_x0000_i1052" DrawAspect="Content" ObjectID="_1454298536" r:id="rId53"/>
        </w:object>
      </w:r>
      <w:r>
        <w:rPr>
          <w:sz w:val="24"/>
          <w:szCs w:val="24"/>
        </w:rPr>
        <w:t xml:space="preserve"> - квантам. Из всех веществ наибольшей поглощающей способностью нейтронов обладают легкие элементы </w:t>
      </w:r>
      <w:r>
        <w:rPr>
          <w:sz w:val="24"/>
          <w:szCs w:val="24"/>
          <w:lang w:val="en-US"/>
        </w:rPr>
        <w:t>H, Li, B,</w:t>
      </w:r>
      <w:r>
        <w:rPr>
          <w:sz w:val="24"/>
          <w:szCs w:val="24"/>
        </w:rPr>
        <w:t xml:space="preserve"> но при поглощении нейтронов происходят ядерные реакции, результатом которых является вторичное излучение. По этой причине защитный материал должен содержать, наоборот, тяжелые элементы, главным образом свинец, поскольку поглощение  </w:t>
      </w:r>
      <w:r>
        <w:rPr>
          <w:position w:val="-10"/>
          <w:sz w:val="24"/>
          <w:szCs w:val="24"/>
        </w:rPr>
        <w:object w:dxaOrig="200" w:dyaOrig="260">
          <v:shape id="_x0000_i1053" type="#_x0000_t75" style="width:9.75pt;height:12.75pt" o:ole="" fillcolor="window">
            <v:imagedata r:id="rId54" o:title=""/>
          </v:shape>
          <o:OLEObject Type="Embed" ProgID="Equation.3" ShapeID="_x0000_i1053" DrawAspect="Content" ObjectID="_1454298537" r:id="rId55"/>
        </w:object>
      </w:r>
      <w:r>
        <w:rPr>
          <w:sz w:val="24"/>
          <w:szCs w:val="24"/>
        </w:rPr>
        <w:t>- квантов подчиняется экспоненциальному закону</w:t>
      </w:r>
    </w:p>
    <w:p w:rsidR="00FA7293" w:rsidRDefault="006A073A">
      <w:pPr>
        <w:ind w:left="444"/>
        <w:jc w:val="center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N=N</w:t>
      </w:r>
      <w:r>
        <w:rPr>
          <w:i/>
          <w:iCs/>
          <w:sz w:val="24"/>
          <w:szCs w:val="24"/>
          <w:vertAlign w:val="subscript"/>
          <w:lang w:val="en-US"/>
        </w:rPr>
        <w:t>0</w:t>
      </w:r>
      <w:r>
        <w:rPr>
          <w:i/>
          <w:iCs/>
          <w:sz w:val="24"/>
          <w:szCs w:val="24"/>
          <w:lang w:val="en-US"/>
        </w:rPr>
        <w:t>e</w:t>
      </w:r>
      <w:r>
        <w:rPr>
          <w:i/>
          <w:iCs/>
          <w:sz w:val="24"/>
          <w:szCs w:val="24"/>
          <w:vertAlign w:val="superscript"/>
          <w:lang w:val="en-US"/>
        </w:rPr>
        <w:t>-2d</w:t>
      </w:r>
      <w:r>
        <w:rPr>
          <w:i/>
          <w:iCs/>
          <w:sz w:val="24"/>
          <w:szCs w:val="24"/>
          <w:vertAlign w:val="superscript"/>
          <w:lang w:val="en-US"/>
        </w:rPr>
        <w:sym w:font="Symbol" w:char="F061"/>
      </w:r>
      <w:r>
        <w:rPr>
          <w:sz w:val="24"/>
          <w:szCs w:val="24"/>
          <w:lang w:val="en-US"/>
        </w:rPr>
        <w:t>,</w:t>
      </w:r>
    </w:p>
    <w:p w:rsidR="00FA7293" w:rsidRDefault="006A073A">
      <w:pPr>
        <w:ind w:left="444"/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</w:p>
    <w:p w:rsidR="00FA7293" w:rsidRDefault="006A073A">
      <w:pPr>
        <w:ind w:left="444"/>
        <w:jc w:val="both"/>
        <w:rPr>
          <w:sz w:val="24"/>
          <w:szCs w:val="24"/>
        </w:rPr>
      </w:pPr>
      <w:r>
        <w:rPr>
          <w:sz w:val="24"/>
          <w:szCs w:val="24"/>
        </w:rPr>
        <w:t>N и N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плотность </w:t>
      </w:r>
      <w:r>
        <w:rPr>
          <w:position w:val="-10"/>
          <w:sz w:val="24"/>
          <w:szCs w:val="24"/>
        </w:rPr>
        <w:object w:dxaOrig="200" w:dyaOrig="260">
          <v:shape id="_x0000_i1054" type="#_x0000_t75" style="width:9.75pt;height:12.75pt" o:ole="" fillcolor="window">
            <v:imagedata r:id="rId54" o:title=""/>
          </v:shape>
          <o:OLEObject Type="Embed" ProgID="Equation.3" ShapeID="_x0000_i1054" DrawAspect="Content" ObjectID="_1454298538" r:id="rId56"/>
        </w:object>
      </w:r>
      <w:r>
        <w:rPr>
          <w:sz w:val="24"/>
          <w:szCs w:val="24"/>
        </w:rPr>
        <w:t>- квантов до и после поглощения соответственно;</w:t>
      </w:r>
    </w:p>
    <w:p w:rsidR="00FA7293" w:rsidRDefault="006A073A">
      <w:pPr>
        <w:ind w:left="44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– плотность ослабляющего вещества;</w:t>
      </w:r>
    </w:p>
    <w:p w:rsidR="00FA7293" w:rsidRDefault="006A073A">
      <w:pPr>
        <w:ind w:left="444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- коэффициент поглощения.</w:t>
      </w:r>
    </w:p>
    <w:p w:rsidR="00FA7293" w:rsidRDefault="006A073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Применение чистого свинца оказывается нецелесообразным из-за его значительной текучести под влиянием даже собственного веса защитной кладки, состоящей из свинцовых кирпичей. Более эффективными </w:t>
      </w:r>
      <w:r>
        <w:rPr>
          <w:position w:val="-10"/>
          <w:sz w:val="24"/>
          <w:szCs w:val="24"/>
        </w:rPr>
        <w:object w:dxaOrig="200" w:dyaOrig="260">
          <v:shape id="_x0000_i1055" type="#_x0000_t75" style="width:9.75pt;height:12.75pt" o:ole="" fillcolor="window">
            <v:imagedata r:id="rId54" o:title=""/>
          </v:shape>
          <o:OLEObject Type="Embed" ProgID="Equation.3" ShapeID="_x0000_i1055" DrawAspect="Content" ObjectID="_1454298539" r:id="rId57"/>
        </w:object>
      </w:r>
      <w:r>
        <w:rPr>
          <w:sz w:val="24"/>
          <w:szCs w:val="24"/>
        </w:rPr>
        <w:t xml:space="preserve"> - защитными материалами являются </w:t>
      </w:r>
      <w:r>
        <w:rPr>
          <w:sz w:val="24"/>
          <w:szCs w:val="24"/>
          <w:lang w:val="en-US"/>
        </w:rPr>
        <w:t>PbO</w:t>
      </w:r>
      <w:r>
        <w:rPr>
          <w:sz w:val="24"/>
          <w:szCs w:val="24"/>
        </w:rPr>
        <w:t xml:space="preserve"> и более сложные оксиды типа </w:t>
      </w:r>
      <w:r>
        <w:rPr>
          <w:sz w:val="24"/>
          <w:szCs w:val="24"/>
          <w:lang w:val="en-US"/>
        </w:rPr>
        <w:t>2PbO, PbSO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</w:rPr>
        <w:t>. Они обладают высокими плотностями, достаточно высокими рабочими температурами и технологичны в процессах изготовления порошка, при прессовании и спекании.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 прессования эти оксиды смешивают с борсодержащими веществами, например с В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с карбидом бора В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С или с боратидами МеВО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и боридами типа МеВ или МеВ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какого-либо металла Ме, дающего, в свою очередь, низкий уровень вторичного </w:t>
      </w:r>
      <w:r>
        <w:rPr>
          <w:position w:val="-10"/>
          <w:sz w:val="24"/>
          <w:szCs w:val="24"/>
        </w:rPr>
        <w:object w:dxaOrig="200" w:dyaOrig="260">
          <v:shape id="_x0000_i1056" type="#_x0000_t75" style="width:9.75pt;height:12.75pt" o:ole="" fillcolor="window">
            <v:imagedata r:id="rId54" o:title=""/>
          </v:shape>
          <o:OLEObject Type="Embed" ProgID="Equation.3" ShapeID="_x0000_i1056" DrawAspect="Content" ObjectID="_1454298540" r:id="rId58"/>
        </w:object>
      </w:r>
      <w:r>
        <w:rPr>
          <w:sz w:val="24"/>
          <w:szCs w:val="24"/>
        </w:rPr>
        <w:t xml:space="preserve">- излучения. После спекания подобные смеси образуют плотную керамику малой пористости. </w:t>
      </w:r>
    </w:p>
    <w:p w:rsidR="00FA7293" w:rsidRDefault="006A073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Но керамика из боро - и свинцово-содержащих веществ имеет много недостатков. Основной из них – пониженная химическая стойкость. Следует отметить  еще более низкую стойкость остальных известных и широко применяемых материалов, например бетонов различного состава. По этой причине, в большинстве случаев, и бетоны, и борсодержащая керамика используются скорее на второй стадии в виде герметичных контейнеров. Для первой стадии общепризнанно, что лишь борсодержащее стекло хорошо удерживает радиоактивные отходы.</w:t>
      </w:r>
    </w:p>
    <w:p w:rsidR="00FA7293" w:rsidRDefault="006A073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Для второй стадии кроме рассмотренных выше керамических материалов </w:t>
      </w:r>
    </w:p>
    <w:p w:rsidR="00FA7293" w:rsidRDefault="006A073A">
      <w:pPr>
        <w:jc w:val="both"/>
        <w:rPr>
          <w:sz w:val="24"/>
          <w:szCs w:val="24"/>
        </w:rPr>
      </w:pPr>
      <w:r>
        <w:rPr>
          <w:sz w:val="24"/>
          <w:szCs w:val="24"/>
        </w:rPr>
        <w:t>испытываются и специальные сплавы, образующиеся в системах Р</w:t>
      </w:r>
      <w:r>
        <w:rPr>
          <w:sz w:val="24"/>
          <w:szCs w:val="24"/>
          <w:lang w:val="en-US"/>
        </w:rPr>
        <w:t xml:space="preserve">b-B, Pb-Li </w:t>
      </w:r>
      <w:r>
        <w:rPr>
          <w:sz w:val="24"/>
          <w:szCs w:val="24"/>
        </w:rPr>
        <w:t xml:space="preserve">и сплавы на основе титана. Сам защитный материал изготовляется в виде керамики, спеченной из порошков таких сплавов. Возможность их практического применения можно выяснить только после глубокого изучения их устойчивости к коррозии в условиях облучения  </w:t>
      </w:r>
      <w:r>
        <w:rPr>
          <w:position w:val="-10"/>
          <w:sz w:val="24"/>
          <w:szCs w:val="24"/>
        </w:rPr>
        <w:object w:dxaOrig="200" w:dyaOrig="260">
          <v:shape id="_x0000_i1057" type="#_x0000_t75" style="width:9.75pt;height:12.75pt" o:ole="" fillcolor="window">
            <v:imagedata r:id="rId54" o:title=""/>
          </v:shape>
          <o:OLEObject Type="Embed" ProgID="Equation.3" ShapeID="_x0000_i1057" DrawAspect="Content" ObjectID="_1454298541" r:id="rId59"/>
        </w:object>
      </w:r>
      <w:r>
        <w:rPr>
          <w:sz w:val="24"/>
          <w:szCs w:val="24"/>
        </w:rPr>
        <w:t xml:space="preserve">- квантами и при повышенных температурах. Например, радиоактивный цезий и стронций способны сохранять без разрушения оболочку из таких сплавов, при температуре почти 200 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С, около 100 лет. Кроме того, нужно добиться высокой механической прочности предлагаемых сплавов, во избежание повреждения контейнеров с радиоактивными отходами при перевозке к местам захоронения.</w:t>
      </w: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6A073A">
      <w:pPr>
        <w:pStyle w:val="2"/>
        <w:rPr>
          <w:sz w:val="24"/>
          <w:szCs w:val="24"/>
        </w:rPr>
      </w:pPr>
      <w:r>
        <w:rPr>
          <w:sz w:val="24"/>
          <w:szCs w:val="24"/>
        </w:rPr>
        <w:t>ИСПОЛЬЗУЕМАЯ ЛИТЕРАТУРА.</w:t>
      </w: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6A073A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В.И. Фистуль. Новые материалы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состояние, проблемы, перспективы. М.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МИСИС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. 1995 г.</w:t>
      </w: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6A073A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А.М. Шалаев, А.А. Адаменко. Радиационно – стимулированное изменение электронной структуры. М. Атомиздат. 1977 г.</w:t>
      </w:r>
    </w:p>
    <w:p w:rsidR="00FA7293" w:rsidRDefault="00FA7293">
      <w:pPr>
        <w:jc w:val="both"/>
        <w:rPr>
          <w:sz w:val="24"/>
          <w:szCs w:val="24"/>
        </w:rPr>
      </w:pPr>
    </w:p>
    <w:p w:rsidR="00FA7293" w:rsidRDefault="00FA7293">
      <w:pPr>
        <w:jc w:val="both"/>
        <w:rPr>
          <w:sz w:val="24"/>
          <w:szCs w:val="24"/>
        </w:rPr>
      </w:pPr>
    </w:p>
    <w:p w:rsidR="00FA7293" w:rsidRDefault="006A073A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М. Томпсон. Дефекты и радиационные повреждения в металлах. М. Мир. 1971 г.  </w:t>
      </w:r>
    </w:p>
    <w:p w:rsidR="00FA7293" w:rsidRDefault="00FA7293">
      <w:pPr>
        <w:pStyle w:val="a7"/>
        <w:rPr>
          <w:sz w:val="24"/>
          <w:szCs w:val="24"/>
          <w:lang w:val="en-US"/>
        </w:rPr>
      </w:pPr>
    </w:p>
    <w:p w:rsidR="00FA7293" w:rsidRDefault="006A073A">
      <w:pPr>
        <w:jc w:val="both"/>
      </w:pPr>
      <w:r>
        <w:t xml:space="preserve">  </w:t>
      </w:r>
      <w:bookmarkStart w:id="0" w:name="_GoBack"/>
      <w:bookmarkEnd w:id="0"/>
    </w:p>
    <w:sectPr w:rsidR="00FA7293">
      <w:footerReference w:type="default" r:id="rId60"/>
      <w:pgSz w:w="11906" w:h="16838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93" w:rsidRDefault="006A073A">
      <w:pPr>
        <w:spacing w:after="0" w:line="240" w:lineRule="auto"/>
      </w:pPr>
      <w:r>
        <w:separator/>
      </w:r>
    </w:p>
  </w:endnote>
  <w:endnote w:type="continuationSeparator" w:id="0">
    <w:p w:rsidR="00FA7293" w:rsidRDefault="006A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293" w:rsidRDefault="006A073A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FA7293" w:rsidRDefault="00FA72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93" w:rsidRDefault="006A073A">
      <w:pPr>
        <w:spacing w:after="0" w:line="240" w:lineRule="auto"/>
      </w:pPr>
      <w:r>
        <w:separator/>
      </w:r>
    </w:p>
  </w:footnote>
  <w:footnote w:type="continuationSeparator" w:id="0">
    <w:p w:rsidR="00FA7293" w:rsidRDefault="006A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73A6"/>
    <w:multiLevelType w:val="singleLevel"/>
    <w:tmpl w:val="EE54C4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8931EB"/>
    <w:multiLevelType w:val="singleLevel"/>
    <w:tmpl w:val="86FC14A6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2">
    <w:nsid w:val="10680D22"/>
    <w:multiLevelType w:val="singleLevel"/>
    <w:tmpl w:val="27D4638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3">
    <w:nsid w:val="2C2411FE"/>
    <w:multiLevelType w:val="singleLevel"/>
    <w:tmpl w:val="FE48C0AA"/>
    <w:lvl w:ilvl="0">
      <w:start w:val="5"/>
      <w:numFmt w:val="decimal"/>
      <w:lvlText w:val="%1."/>
      <w:lvlJc w:val="left"/>
      <w:pPr>
        <w:tabs>
          <w:tab w:val="num" w:pos="930"/>
        </w:tabs>
        <w:ind w:left="930" w:hanging="435"/>
      </w:pPr>
      <w:rPr>
        <w:rFonts w:hint="default"/>
      </w:rPr>
    </w:lvl>
  </w:abstractNum>
  <w:abstractNum w:abstractNumId="4">
    <w:nsid w:val="6229124D"/>
    <w:multiLevelType w:val="singleLevel"/>
    <w:tmpl w:val="AB4C30D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hint="default"/>
      </w:rPr>
    </w:lvl>
  </w:abstractNum>
  <w:abstractNum w:abstractNumId="5">
    <w:nsid w:val="79B97F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linkStyle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73A"/>
    <w:rsid w:val="006A073A"/>
    <w:rsid w:val="008D65DA"/>
    <w:rsid w:val="00F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docId w15:val="{84E71F2B-6EA2-440E-AEBF-811B3D8D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DA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  <w:rsid w:val="008D65D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D65DA"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b/>
      <w:bCs/>
    </w:r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a6">
    <w:name w:val="номер страницы"/>
    <w:basedOn w:val="a3"/>
    <w:uiPriority w:val="99"/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0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9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5.wmf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2.bin"/><Relationship Id="rId54" Type="http://schemas.openxmlformats.org/officeDocument/2006/relationships/image" Target="media/image20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image" Target="media/image9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2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image" Target="media/image8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7.wmf"/><Relationship Id="rId56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oleObject" Target="embeddings/oleObject18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2479</Words>
  <Characters>14133</Characters>
  <Application>Microsoft Office Word</Application>
  <DocSecurity>0</DocSecurity>
  <Lines>117</Lines>
  <Paragraphs>33</Paragraphs>
  <ScaleCrop>false</ScaleCrop>
  <Company>Институт физики и химии</Company>
  <LinksUpToDate>false</LinksUpToDate>
  <CharactersWithSpaces>16579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МОРДОВСКИЙ ГОСУДАРСТВЕННЫЙ УНИВЕРСИТЕТ</dc:title>
  <dc:subject/>
  <dc:creator>Bashlykov</dc:creator>
  <cp:keywords/>
  <dc:description/>
  <cp:lastModifiedBy>admin</cp:lastModifiedBy>
  <cp:revision>2</cp:revision>
  <dcterms:created xsi:type="dcterms:W3CDTF">2014-02-19T05:00:00Z</dcterms:created>
  <dcterms:modified xsi:type="dcterms:W3CDTF">2014-02-19T05:00:00Z</dcterms:modified>
</cp:coreProperties>
</file>