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B8" w:rsidRDefault="00C46DB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Международно-правовой режим международных проливов</w:t>
      </w:r>
    </w:p>
    <w:p w:rsidR="00C46DB8" w:rsidRDefault="00C46DB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 по международному праву</w:t>
      </w:r>
    </w:p>
    <w:p w:rsidR="00C46DB8" w:rsidRDefault="00C46DB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Выполнил: студент 4 курса 2 года обучения заочного коммерческого отделения Жаров Николай Борисович </w:t>
      </w:r>
    </w:p>
    <w:p w:rsidR="00C46DB8" w:rsidRDefault="00C46DB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общего и профессионального образования Российской Федерации</w:t>
      </w:r>
    </w:p>
    <w:p w:rsidR="00C46DB8" w:rsidRDefault="00C46DB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Ивановский государственный университет</w:t>
      </w:r>
    </w:p>
    <w:p w:rsidR="00C46DB8" w:rsidRDefault="00C46DB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Юридический факультет</w:t>
      </w:r>
    </w:p>
    <w:p w:rsidR="00C46DB8" w:rsidRDefault="00C46DB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теории и истории государства и права</w:t>
      </w:r>
    </w:p>
    <w:p w:rsidR="00C46DB8" w:rsidRDefault="00C46DB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Иваново, 1997</w:t>
      </w:r>
    </w:p>
    <w:p w:rsidR="00C46DB8" w:rsidRDefault="00C46DB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Понятие транзитного прохода и его правовой режим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“Проливы, или естественные морские проходы, соединяют части одного и того же моря или, что гораздо чаще, отдельные моря и океаны друг с другом, образуя тем самым систему морских путей в пределах всего мирового океана.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установлении правового режима морских проливов учитываются, как правило, два связанных между собой фактора: географическое положение того или иного пролива и его значение для международного судоходства”</w:t>
      </w:r>
      <w:r>
        <w:rPr>
          <w:rStyle w:val="a3"/>
          <w:color w:val="000000"/>
          <w:sz w:val="24"/>
          <w:szCs w:val="24"/>
          <w:vertAlign w:val="baseline"/>
        </w:rPr>
        <w:footnoteReference w:id="1"/>
      </w:r>
      <w:r>
        <w:rPr>
          <w:rStyle w:val="a3"/>
          <w:color w:val="000000"/>
          <w:sz w:val="24"/>
          <w:szCs w:val="24"/>
          <w:vertAlign w:val="baseline"/>
        </w:rPr>
        <w:t>[1]</w:t>
      </w:r>
      <w:r>
        <w:rPr>
          <w:color w:val="000000"/>
          <w:sz w:val="24"/>
          <w:szCs w:val="24"/>
        </w:rPr>
        <w:t>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режим международных проливов регулируется нормами Конвенции ООН по морскому праву 1982 года.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Конвенция устанавливает 4 вида проливов, используемых для международного судоходства</w:t>
      </w:r>
      <w:r>
        <w:rPr>
          <w:rStyle w:val="a3"/>
          <w:color w:val="000000"/>
          <w:sz w:val="24"/>
          <w:szCs w:val="24"/>
          <w:vertAlign w:val="baseline"/>
        </w:rPr>
        <w:footnoteReference w:id="2"/>
      </w:r>
      <w:r>
        <w:rPr>
          <w:rStyle w:val="a3"/>
          <w:color w:val="000000"/>
          <w:sz w:val="24"/>
          <w:szCs w:val="24"/>
          <w:vertAlign w:val="baseline"/>
        </w:rPr>
        <w:t>[2]</w:t>
      </w:r>
      <w:r>
        <w:rPr>
          <w:color w:val="000000"/>
          <w:sz w:val="24"/>
          <w:szCs w:val="24"/>
        </w:rPr>
        <w:t>: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проливы между одной частью открытого моря или экономической зоны и другой частью открытого моря или экономической зоны, в которых военные корабли, любые невоенные суда пользуются правом беспрепятственного транзитного прохода. Ширина этих проливов не превышает двойной ширины 12-мильного предела территориального моря прибрежного или прибрежных государств (Гибралтарский, Малаккский, Ормузский и др.);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проливы, образуемые островом государства, граничащего с этим проливом, и его континентальной частью, к которым не применяется транзитный проход, а применяется мирный проход, если в сторону моря от острова имеется столь же удобный с точки зрения навигационных и гидрографических условий путь в открытом море или в экономической зоне. Их ширина превышает двойную ширину территориального моря;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проливы между одним районом открытого моря и территориальным морем иностранного государства, к которым также применяется мирный проход (Мессинский, Тирана и др.);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проливы, режим которых регулируется специальными конвенциями (Черноморские, Балтийские и др.).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к проливам различных групп применяются разные правовые режимы: мирный проход и транзитный проход.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“Под проходом понимается плавание через территориальные воды без захода во внутренние воды, на рейды или в порты прибрежного государства или для вхождения в эти морские пространства или выхода из них в открытое море. Проход должен быть непрерывным и быстрым”</w:t>
      </w:r>
      <w:r>
        <w:rPr>
          <w:rStyle w:val="a3"/>
          <w:color w:val="000000"/>
          <w:sz w:val="24"/>
          <w:szCs w:val="24"/>
          <w:vertAlign w:val="baseline"/>
        </w:rPr>
        <w:footnoteReference w:id="3"/>
      </w:r>
      <w:r>
        <w:rPr>
          <w:rStyle w:val="a3"/>
          <w:color w:val="000000"/>
          <w:sz w:val="24"/>
          <w:szCs w:val="24"/>
          <w:vertAlign w:val="baseline"/>
        </w:rPr>
        <w:t>[3]</w:t>
      </w:r>
      <w:r>
        <w:rPr>
          <w:color w:val="000000"/>
          <w:sz w:val="24"/>
          <w:szCs w:val="24"/>
        </w:rPr>
        <w:t>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 мирного прохода применяется к судоходству в территориальном море (раздел 3 части 2 Конвенции), а принцип транзитного прохода применяется к проливам, используемым для международного судоходства, в том числе и перекрываемым территориальными водами припроливных государств</w:t>
      </w:r>
      <w:r>
        <w:rPr>
          <w:rStyle w:val="a3"/>
          <w:color w:val="000000"/>
          <w:sz w:val="24"/>
          <w:szCs w:val="24"/>
          <w:vertAlign w:val="baseline"/>
        </w:rPr>
        <w:footnoteReference w:id="4"/>
      </w:r>
      <w:r>
        <w:rPr>
          <w:rStyle w:val="a3"/>
          <w:color w:val="000000"/>
          <w:sz w:val="24"/>
          <w:szCs w:val="24"/>
          <w:vertAlign w:val="baseline"/>
        </w:rPr>
        <w:t>[4]</w:t>
      </w:r>
      <w:r>
        <w:rPr>
          <w:color w:val="000000"/>
          <w:sz w:val="24"/>
          <w:szCs w:val="24"/>
        </w:rPr>
        <w:t>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Какая-то часть вод, образующих пролив, может быть внутренними водами прибрежного государства и иметь режим, предусматривающий право мирного прохода иностранных судов</w:t>
      </w:r>
      <w:r>
        <w:rPr>
          <w:rStyle w:val="a3"/>
          <w:color w:val="000000"/>
          <w:sz w:val="24"/>
          <w:szCs w:val="24"/>
          <w:vertAlign w:val="baseline"/>
        </w:rPr>
        <w:footnoteReference w:id="5"/>
      </w:r>
      <w:r>
        <w:rPr>
          <w:rStyle w:val="a3"/>
          <w:color w:val="000000"/>
          <w:sz w:val="24"/>
          <w:szCs w:val="24"/>
          <w:vertAlign w:val="baseline"/>
        </w:rPr>
        <w:t>[5]</w:t>
      </w:r>
      <w:r>
        <w:rPr>
          <w:color w:val="000000"/>
          <w:sz w:val="24"/>
          <w:szCs w:val="24"/>
        </w:rPr>
        <w:t>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“Проход считается мирным, если в результате его не нарушается мир, добрый порядок в территориальных водах или безопасность прибрежного государства и если он совершается в соответствии с положениями Конвенции 1982 г. и другими нормами международного права”</w:t>
      </w:r>
      <w:r>
        <w:rPr>
          <w:rStyle w:val="a3"/>
          <w:color w:val="000000"/>
          <w:sz w:val="24"/>
          <w:szCs w:val="24"/>
          <w:vertAlign w:val="baseline"/>
        </w:rPr>
        <w:footnoteReference w:id="6"/>
      </w:r>
      <w:r>
        <w:rPr>
          <w:rStyle w:val="a3"/>
          <w:color w:val="000000"/>
          <w:sz w:val="24"/>
          <w:szCs w:val="24"/>
          <w:vertAlign w:val="baseline"/>
        </w:rPr>
        <w:t>[6]</w:t>
      </w:r>
      <w:r>
        <w:rPr>
          <w:color w:val="000000"/>
          <w:sz w:val="24"/>
          <w:szCs w:val="24"/>
        </w:rPr>
        <w:t>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основу понятия “транзитный проход” Конвенцией 1982 г. положен принцип свободы мореплавания</w:t>
      </w:r>
      <w:r>
        <w:rPr>
          <w:rStyle w:val="a3"/>
          <w:color w:val="000000"/>
          <w:sz w:val="24"/>
          <w:szCs w:val="24"/>
          <w:vertAlign w:val="baseline"/>
        </w:rPr>
        <w:footnoteReference w:id="7"/>
      </w:r>
      <w:r>
        <w:rPr>
          <w:rStyle w:val="a3"/>
          <w:color w:val="000000"/>
          <w:sz w:val="24"/>
          <w:szCs w:val="24"/>
          <w:vertAlign w:val="baseline"/>
        </w:rPr>
        <w:t>[7]</w:t>
      </w:r>
      <w:r>
        <w:rPr>
          <w:color w:val="000000"/>
          <w:sz w:val="24"/>
          <w:szCs w:val="24"/>
        </w:rPr>
        <w:t>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Пункт 2 ст. 38 ч. 3 Конвенции 1982 г. дает легальное определение транзитного прохода: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“Транзитный проход представляет собой осуществление свободы судоходства и пролета летательных аппаратов единственно в целях непрерывного и быстрого транзита через пролив между одной частью открытого моря или экономической зоны и другой частью открытого моря или экономической зоны”</w:t>
      </w:r>
      <w:r>
        <w:rPr>
          <w:rStyle w:val="a3"/>
          <w:color w:val="000000"/>
          <w:sz w:val="24"/>
          <w:szCs w:val="24"/>
          <w:vertAlign w:val="baseline"/>
        </w:rPr>
        <w:footnoteReference w:id="8"/>
      </w:r>
      <w:r>
        <w:rPr>
          <w:rStyle w:val="a3"/>
          <w:color w:val="000000"/>
          <w:sz w:val="24"/>
          <w:szCs w:val="24"/>
          <w:vertAlign w:val="baseline"/>
        </w:rPr>
        <w:t>[8]</w:t>
      </w:r>
      <w:r>
        <w:rPr>
          <w:color w:val="000000"/>
          <w:sz w:val="24"/>
          <w:szCs w:val="24"/>
        </w:rPr>
        <w:t>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по конвенции транзитный проход не полностью адекватен свободе судоходства в открытом море. Часть III Конвенции предусматривает некоторые положения, уравновешивающие интересы всех пользователей проливами со специфическими интересами припроливных государств (например, подводные лодки в этих проливах не могут не только проводить маневры, учения, но даже приостановить проход)</w:t>
      </w:r>
      <w:r>
        <w:rPr>
          <w:rStyle w:val="a3"/>
          <w:color w:val="000000"/>
          <w:sz w:val="24"/>
          <w:szCs w:val="24"/>
          <w:vertAlign w:val="baseline"/>
        </w:rPr>
        <w:footnoteReference w:id="9"/>
      </w:r>
      <w:r>
        <w:rPr>
          <w:rStyle w:val="a3"/>
          <w:color w:val="000000"/>
          <w:sz w:val="24"/>
          <w:szCs w:val="24"/>
          <w:vertAlign w:val="baseline"/>
        </w:rPr>
        <w:t>[9]</w:t>
      </w:r>
      <w:r>
        <w:rPr>
          <w:color w:val="000000"/>
          <w:sz w:val="24"/>
          <w:szCs w:val="24"/>
        </w:rPr>
        <w:t>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Требование о непрерывном и быстром транзите не исключает проход через пролив для целей входа, выхода или возвращения из государства, граничащего с проливом, при соблюдении условий, установленных этим государством для входа в его внутренние морские воды и порты</w:t>
      </w:r>
      <w:r>
        <w:rPr>
          <w:rStyle w:val="a3"/>
          <w:color w:val="000000"/>
          <w:sz w:val="24"/>
          <w:szCs w:val="24"/>
          <w:vertAlign w:val="baseline"/>
        </w:rPr>
        <w:footnoteReference w:id="10"/>
      </w:r>
      <w:r>
        <w:rPr>
          <w:rStyle w:val="a3"/>
          <w:color w:val="000000"/>
          <w:sz w:val="24"/>
          <w:szCs w:val="24"/>
          <w:vertAlign w:val="baseline"/>
        </w:rPr>
        <w:t>[10]</w:t>
      </w:r>
      <w:r>
        <w:rPr>
          <w:color w:val="000000"/>
          <w:sz w:val="24"/>
          <w:szCs w:val="24"/>
        </w:rPr>
        <w:t>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Государство, граничащее с проливом, не вправе приостанавливать или прерывать транзитный проход или иным образом препятствовать этому проходу в проливах, используемых для международного судоходства и соединяющих одну часть открытого моря или экономической зоны с другой частью открытого моря или экономической зоны, даже если такой пролив перекрывается его территориальным морем</w:t>
      </w:r>
      <w:r>
        <w:rPr>
          <w:rStyle w:val="a3"/>
          <w:color w:val="000000"/>
          <w:sz w:val="24"/>
          <w:szCs w:val="24"/>
          <w:vertAlign w:val="baseline"/>
        </w:rPr>
        <w:footnoteReference w:id="11"/>
      </w:r>
      <w:r>
        <w:rPr>
          <w:rStyle w:val="a3"/>
          <w:color w:val="000000"/>
          <w:sz w:val="24"/>
          <w:szCs w:val="24"/>
          <w:vertAlign w:val="baseline"/>
        </w:rPr>
        <w:t>[11]</w:t>
      </w:r>
      <w:r>
        <w:rPr>
          <w:color w:val="000000"/>
          <w:sz w:val="24"/>
          <w:szCs w:val="24"/>
        </w:rPr>
        <w:t>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“В конвенции содержатся также положения, обеспечивающие интересы государств, граничащих с проливами, в области безопасности, рыболовства, борьбы с загрязнением, соблюдения таможенных, фискальных, иммиграционных и санитарных законов и правил . Суда и летательные аппараты при осуществлении права транзитного прохода воздерживаются от любой деятельности в нарушение принципов международного права, воплощенных в Уставе ООН. а также от любой деятельности, несвойственной непрерывному и быстрому транзиту”</w:t>
      </w:r>
      <w:r>
        <w:rPr>
          <w:rStyle w:val="a3"/>
          <w:color w:val="000000"/>
          <w:sz w:val="24"/>
          <w:szCs w:val="24"/>
          <w:vertAlign w:val="baseline"/>
        </w:rPr>
        <w:footnoteReference w:id="12"/>
      </w:r>
      <w:r>
        <w:rPr>
          <w:rStyle w:val="a3"/>
          <w:color w:val="000000"/>
          <w:sz w:val="24"/>
          <w:szCs w:val="24"/>
          <w:vertAlign w:val="baseline"/>
        </w:rPr>
        <w:t>[12]</w:t>
      </w:r>
      <w:r>
        <w:rPr>
          <w:color w:val="000000"/>
          <w:sz w:val="24"/>
          <w:szCs w:val="24"/>
        </w:rPr>
        <w:t>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“Конвенция не затрагивает правового режима международных проливов, проход в которые регулируется в целом или частично давно существующими и находящимися в силе международными конвенциями, специально относящимися к таким проливам. Эти конвенции обычно заключались в отношении проливов, имеющих особое положение, прежде всего ведущих в закрытые моря. Таковы, в частности, Черноморские проливы (Босфор-Мраморное море-Дарданеллы), которые ведут лишь к берегам черноморских стран”</w:t>
      </w:r>
      <w:r>
        <w:rPr>
          <w:rStyle w:val="a3"/>
          <w:color w:val="000000"/>
          <w:sz w:val="24"/>
          <w:szCs w:val="24"/>
          <w:vertAlign w:val="baseline"/>
        </w:rPr>
        <w:footnoteReference w:id="13"/>
      </w:r>
      <w:r>
        <w:rPr>
          <w:rStyle w:val="a3"/>
          <w:color w:val="000000"/>
          <w:sz w:val="24"/>
          <w:szCs w:val="24"/>
          <w:vertAlign w:val="baseline"/>
        </w:rPr>
        <w:t>[13]</w:t>
      </w:r>
      <w:r>
        <w:rPr>
          <w:color w:val="000000"/>
          <w:sz w:val="24"/>
          <w:szCs w:val="24"/>
        </w:rPr>
        <w:t>.</w:t>
      </w:r>
    </w:p>
    <w:p w:rsidR="00C46DB8" w:rsidRDefault="00C46DB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Правовой режим черноморских проливов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Режим Черноморских проливов в настоящее время регулируется конвенцией, заключенной в Монтрё в 1936 г., которую подписали Болгария, Франция, Великобритания, Греция, Япония, Румыния, Турция, СССР, Югославия и Италия.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1 Конвенции</w:t>
      </w:r>
      <w:r>
        <w:rPr>
          <w:rStyle w:val="a3"/>
          <w:color w:val="000000"/>
          <w:sz w:val="24"/>
          <w:szCs w:val="24"/>
          <w:vertAlign w:val="baseline"/>
        </w:rPr>
        <w:footnoteReference w:id="14"/>
      </w:r>
      <w:r>
        <w:rPr>
          <w:rStyle w:val="a3"/>
          <w:color w:val="000000"/>
          <w:sz w:val="24"/>
          <w:szCs w:val="24"/>
          <w:vertAlign w:val="baseline"/>
        </w:rPr>
        <w:t>[14]</w:t>
      </w:r>
      <w:r>
        <w:rPr>
          <w:color w:val="000000"/>
          <w:sz w:val="24"/>
          <w:szCs w:val="24"/>
        </w:rPr>
        <w:t xml:space="preserve"> провозглашает принцип права свободы прохода и мореплавания в Проливах.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мирное время торговые суда пользуются правом полной свободы прохода и плавания в проливах (перевозить любой груз под любым флагом и днем и ночью) (ст. 2 Конвенции), но с обязательной санитарной остановкой при входе в Проливы (ст. 3).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войны, когда Турция не является воюющей стороной, право свободы сохраняется (ст. 4), а если Турция является воюющей стороной, то только торговые суда, не принадлежащие стране, находящейся с Турцией в войне, пользуются правом свободы и причем только днем и только по пути, указанному турецкими властями. При этом такие суда не должны оказывать содействия противнику Турции (ст. 5). Аналогичный порядок устанавливается для случаев, когда Турция не находится в состоянии войны, но считает себя поставленной в состояние военной опасности (ст.6).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Особый порядок установлен для прохода через проливы военных судов нечерноморских держав.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мирное время легкие надводные корабли, небольшие боевые суда пользуются правом свободы, но только днем (ст. 10).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Общий тоннаж военных кораблей всех держав в транзите через проливы не должен превышать 15 тыс. т , а число кораблей, одновременно находящихся в Проливах, - девять (ст. 14). Общий тоннаж военных судов всех нечерноморских держав при их пребывании в Черном море не должен превышать 30 тыс. т с возможностью увеличения его до 45 тыс. т в случае увеличения военно-морских сил черноморских стран (п. 1 ст. 18).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Пункт 2 ст. 18 устанавливает предельный срок пребывания военных кораблей нечерноморских держав в Черном море - 21 день.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11 Конвенции устанавливает, что подводные лодки должны проходить Проливы в надводном состоянии, а линейные корабли - по одному - в сопровождении не более двух эсминцев. Ограничений в отношении тоннажа линейных кораблей не установлено.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13 устанавливает гарантии безопасности Турции при проходе через Проливы военных кораблей. О таком проходе турецкому правительству дипломатическим путем должно быть сделано уведомление по крайней мере за 8 дней, если речь идет о кораблях прибрежных к Черному морю государств, и за 15 дней - в отношении прохода кораблей нечерноморских стран.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Другие гарантии безопасности Турции содержатся в статьях 19 и 20. В случае участия Турции в войне ей предоставляется право разрешать или запрещать проход через Проливы любых военных судов (ст. 19), а во время войны, в которой Турция не участвует, Проливы должны быть закрыты для прохода военных судов любой воюющей державы (ст. 20).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в случае участия России в войне, нормы Конвенции сковывают военную активность Российского Черноморского флота.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23 Конвенции устанавливает принцип свободы воздушного судоходства при условии уведомления Турции и только после такого уведомления по маршруту, указанному Турцией.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“В 1982 г. Турция приняла новый регламент порта Стамбул, который предусматривает право турецких властей на временное приостановление прохода судов через пролив Босфор и обязательную лоцманскую проводку судов через пролив”, что противоречит ст. 1 Конвенции</w:t>
      </w:r>
      <w:r>
        <w:rPr>
          <w:rStyle w:val="a3"/>
          <w:color w:val="000000"/>
          <w:sz w:val="24"/>
          <w:szCs w:val="24"/>
          <w:vertAlign w:val="baseline"/>
        </w:rPr>
        <w:footnoteReference w:id="15"/>
      </w:r>
      <w:r>
        <w:rPr>
          <w:rStyle w:val="a3"/>
          <w:color w:val="000000"/>
          <w:sz w:val="24"/>
          <w:szCs w:val="24"/>
          <w:vertAlign w:val="baseline"/>
        </w:rPr>
        <w:t>[15]</w:t>
      </w:r>
      <w:r>
        <w:rPr>
          <w:color w:val="000000"/>
          <w:sz w:val="24"/>
          <w:szCs w:val="24"/>
        </w:rPr>
        <w:t>.</w:t>
      </w:r>
    </w:p>
    <w:p w:rsidR="00C46DB8" w:rsidRDefault="00C46DB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Конвенция о режиме Черноморских проливов. - В кн.: Международное право в документах. - М.: Международные отношения, 1982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Международное морское право: Справочник / Под ред. С.Г. Горшкова. - М.: Воениздат, 1985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Международное право: Учебник. - 5-е изд., перераб. и доп. / Отв. ред. Ф.И. Кожевников. - М.: Международные отношения, 1987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Молодцов С.В. Международное морское право. - М.: Международные отношения, 1987</w:t>
      </w:r>
    </w:p>
    <w:p w:rsidR="00C46DB8" w:rsidRDefault="00C46DB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46DB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DB8" w:rsidRDefault="00C46DB8">
      <w:r>
        <w:separator/>
      </w:r>
    </w:p>
  </w:endnote>
  <w:endnote w:type="continuationSeparator" w:id="0">
    <w:p w:rsidR="00C46DB8" w:rsidRDefault="00C4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DB8" w:rsidRDefault="00C46DB8">
      <w:r>
        <w:separator/>
      </w:r>
    </w:p>
  </w:footnote>
  <w:footnote w:type="continuationSeparator" w:id="0">
    <w:p w:rsidR="00C46DB8" w:rsidRDefault="00C46DB8">
      <w:r>
        <w:continuationSeparator/>
      </w:r>
    </w:p>
  </w:footnote>
  <w:footnote w:id="1">
    <w:p w:rsidR="00C46DB8" w:rsidRDefault="00C46DB8">
      <w:pPr>
        <w:pStyle w:val="a4"/>
        <w:jc w:val="both"/>
      </w:pPr>
      <w:r>
        <w:rPr>
          <w:rStyle w:val="a3"/>
        </w:rPr>
        <w:footnoteRef/>
      </w:r>
      <w:r>
        <w:rPr>
          <w:rStyle w:val="a3"/>
        </w:rPr>
        <w:t>[1]</w:t>
      </w:r>
      <w:r>
        <w:t xml:space="preserve"> Международное право: Учебник. - 5-е изд., перераб. и доп. / Отв. ред. Ф.И. Кожевников. - М.: Международные отношения, 1987, с. 207-208</w:t>
      </w:r>
    </w:p>
  </w:footnote>
  <w:footnote w:id="2">
    <w:p w:rsidR="00C46DB8" w:rsidRDefault="00C46DB8">
      <w:pPr>
        <w:pStyle w:val="a4"/>
        <w:jc w:val="both"/>
      </w:pPr>
      <w:r>
        <w:rPr>
          <w:rStyle w:val="a3"/>
        </w:rPr>
        <w:footnoteRef/>
      </w:r>
      <w:r>
        <w:rPr>
          <w:rStyle w:val="a3"/>
        </w:rPr>
        <w:t>[2]</w:t>
      </w:r>
      <w:r>
        <w:t xml:space="preserve"> См.: Международное морское право: Справочник /Под ред. С.Г. Горшкова. - М.:Воениздат, 1985, с. 150;  Молодцов С.В. Международное морское право. - М.: Международные отношения, 1987, с. 220-228</w:t>
      </w:r>
    </w:p>
  </w:footnote>
  <w:footnote w:id="3">
    <w:p w:rsidR="00C46DB8" w:rsidRDefault="00C46DB8">
      <w:pPr>
        <w:pStyle w:val="a4"/>
        <w:jc w:val="both"/>
      </w:pPr>
      <w:r>
        <w:rPr>
          <w:rStyle w:val="a3"/>
        </w:rPr>
        <w:footnoteRef/>
      </w:r>
      <w:r>
        <w:rPr>
          <w:rStyle w:val="a3"/>
        </w:rPr>
        <w:t>[3]</w:t>
      </w:r>
      <w:r>
        <w:t xml:space="preserve"> Международное морское право, с. 86</w:t>
      </w:r>
    </w:p>
  </w:footnote>
  <w:footnote w:id="4">
    <w:p w:rsidR="00C46DB8" w:rsidRDefault="00C46DB8">
      <w:pPr>
        <w:pStyle w:val="a4"/>
        <w:jc w:val="both"/>
      </w:pPr>
      <w:r>
        <w:rPr>
          <w:rStyle w:val="a3"/>
        </w:rPr>
        <w:footnoteRef/>
      </w:r>
      <w:r>
        <w:rPr>
          <w:rStyle w:val="a3"/>
        </w:rPr>
        <w:t>[4]</w:t>
      </w:r>
      <w:r>
        <w:t xml:space="preserve"> См.: Молодцов С.В. Ук. соч., с. 220</w:t>
      </w:r>
    </w:p>
  </w:footnote>
  <w:footnote w:id="5">
    <w:p w:rsidR="00C46DB8" w:rsidRDefault="00C46DB8">
      <w:pPr>
        <w:pStyle w:val="a4"/>
      </w:pPr>
      <w:r>
        <w:rPr>
          <w:rStyle w:val="a3"/>
        </w:rPr>
        <w:footnoteRef/>
      </w:r>
      <w:r>
        <w:rPr>
          <w:rStyle w:val="a3"/>
        </w:rPr>
        <w:t>[5]</w:t>
      </w:r>
      <w:r>
        <w:t xml:space="preserve"> Молодцов С.В. Ук. соч., с. 221</w:t>
      </w:r>
    </w:p>
  </w:footnote>
  <w:footnote w:id="6">
    <w:p w:rsidR="00C46DB8" w:rsidRDefault="00C46DB8">
      <w:pPr>
        <w:pStyle w:val="a4"/>
      </w:pPr>
      <w:r>
        <w:rPr>
          <w:rStyle w:val="a3"/>
        </w:rPr>
        <w:footnoteRef/>
      </w:r>
      <w:r>
        <w:rPr>
          <w:rStyle w:val="a3"/>
        </w:rPr>
        <w:t>[6]</w:t>
      </w:r>
      <w:r>
        <w:t xml:space="preserve"> Международное морское право, с. 86</w:t>
      </w:r>
    </w:p>
  </w:footnote>
  <w:footnote w:id="7">
    <w:p w:rsidR="00C46DB8" w:rsidRDefault="00C46DB8">
      <w:pPr>
        <w:pStyle w:val="a4"/>
      </w:pPr>
      <w:r>
        <w:rPr>
          <w:rStyle w:val="a3"/>
        </w:rPr>
        <w:footnoteRef/>
      </w:r>
      <w:r>
        <w:rPr>
          <w:rStyle w:val="a3"/>
        </w:rPr>
        <w:t>[7]</w:t>
      </w:r>
      <w:r>
        <w:t xml:space="preserve"> См.: Молодцов С.В. Ук. соч., с. 224</w:t>
      </w:r>
    </w:p>
  </w:footnote>
  <w:footnote w:id="8">
    <w:p w:rsidR="00C46DB8" w:rsidRDefault="00C46DB8">
      <w:pPr>
        <w:pStyle w:val="a4"/>
      </w:pPr>
      <w:r>
        <w:rPr>
          <w:rStyle w:val="a3"/>
        </w:rPr>
        <w:footnoteRef/>
      </w:r>
      <w:r>
        <w:rPr>
          <w:rStyle w:val="a3"/>
        </w:rPr>
        <w:t>[8]</w:t>
      </w:r>
      <w:r>
        <w:t xml:space="preserve"> Международное морское право, с. 151</w:t>
      </w:r>
    </w:p>
  </w:footnote>
  <w:footnote w:id="9">
    <w:p w:rsidR="00C46DB8" w:rsidRDefault="00C46DB8">
      <w:pPr>
        <w:pStyle w:val="a4"/>
      </w:pPr>
      <w:r>
        <w:rPr>
          <w:rStyle w:val="a3"/>
        </w:rPr>
        <w:footnoteRef/>
      </w:r>
      <w:r>
        <w:rPr>
          <w:rStyle w:val="a3"/>
        </w:rPr>
        <w:t>[9]</w:t>
      </w:r>
      <w:r>
        <w:t xml:space="preserve"> Молодцов С.В. Ук. соч., с. 225</w:t>
      </w:r>
    </w:p>
  </w:footnote>
  <w:footnote w:id="10">
    <w:p w:rsidR="00C46DB8" w:rsidRDefault="00C46DB8">
      <w:pPr>
        <w:pStyle w:val="a4"/>
      </w:pPr>
      <w:r>
        <w:rPr>
          <w:rStyle w:val="a3"/>
        </w:rPr>
        <w:footnoteRef/>
      </w:r>
      <w:r>
        <w:rPr>
          <w:rStyle w:val="a3"/>
        </w:rPr>
        <w:t>[10]</w:t>
      </w:r>
      <w:r>
        <w:t xml:space="preserve"> См.: Международное морское право, с. 151</w:t>
      </w:r>
    </w:p>
  </w:footnote>
  <w:footnote w:id="11">
    <w:p w:rsidR="00C46DB8" w:rsidRDefault="00C46DB8">
      <w:pPr>
        <w:pStyle w:val="a4"/>
      </w:pPr>
      <w:r>
        <w:rPr>
          <w:rStyle w:val="a3"/>
        </w:rPr>
        <w:footnoteRef/>
      </w:r>
      <w:r>
        <w:rPr>
          <w:rStyle w:val="a3"/>
        </w:rPr>
        <w:t>[11]</w:t>
      </w:r>
      <w:r>
        <w:t xml:space="preserve"> Молодцов С.В. Ук. соч., с. 228</w:t>
      </w:r>
    </w:p>
  </w:footnote>
  <w:footnote w:id="12">
    <w:p w:rsidR="00C46DB8" w:rsidRDefault="00C46DB8">
      <w:pPr>
        <w:pStyle w:val="a4"/>
      </w:pPr>
      <w:r>
        <w:rPr>
          <w:rStyle w:val="a3"/>
        </w:rPr>
        <w:footnoteRef/>
      </w:r>
      <w:r>
        <w:rPr>
          <w:rStyle w:val="a3"/>
        </w:rPr>
        <w:t>[12]</w:t>
      </w:r>
      <w:r>
        <w:t xml:space="preserve"> Международное право. Учебник, с.208-209</w:t>
      </w:r>
    </w:p>
  </w:footnote>
  <w:footnote w:id="13">
    <w:p w:rsidR="00C46DB8" w:rsidRDefault="00C46DB8">
      <w:pPr>
        <w:pStyle w:val="a4"/>
      </w:pPr>
      <w:r>
        <w:rPr>
          <w:rStyle w:val="a3"/>
        </w:rPr>
        <w:footnoteRef/>
      </w:r>
      <w:r>
        <w:rPr>
          <w:rStyle w:val="a3"/>
        </w:rPr>
        <w:t>[13]</w:t>
      </w:r>
      <w:r>
        <w:t xml:space="preserve"> Международное право. Учебник, с. 209</w:t>
      </w:r>
    </w:p>
  </w:footnote>
  <w:footnote w:id="14">
    <w:p w:rsidR="00C46DB8" w:rsidRDefault="00C46DB8">
      <w:pPr>
        <w:pStyle w:val="a4"/>
      </w:pPr>
      <w:r>
        <w:rPr>
          <w:rStyle w:val="a3"/>
        </w:rPr>
        <w:footnoteRef/>
      </w:r>
      <w:r>
        <w:rPr>
          <w:rStyle w:val="a3"/>
        </w:rPr>
        <w:t>[14]</w:t>
      </w:r>
      <w:r>
        <w:t xml:space="preserve"> Здесь и далее ссылки на статьи конвенции даются по: Конвенция о режиме Черноморских проливов от 27 июля 1936 года. - В кн.: Международное право в документах. - М.: Международные отношения, 1982, с. 508-514</w:t>
      </w:r>
    </w:p>
  </w:footnote>
  <w:footnote w:id="15">
    <w:p w:rsidR="00C46DB8" w:rsidRDefault="00C46DB8">
      <w:pPr>
        <w:pStyle w:val="a4"/>
      </w:pPr>
      <w:r>
        <w:rPr>
          <w:rStyle w:val="a3"/>
        </w:rPr>
        <w:footnoteRef/>
      </w:r>
      <w:r>
        <w:rPr>
          <w:rStyle w:val="a3"/>
        </w:rPr>
        <w:t>[15]</w:t>
      </w:r>
      <w:r>
        <w:t xml:space="preserve"> Международное право в документах, с. 514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620332"/>
    <w:multiLevelType w:val="singleLevel"/>
    <w:tmpl w:val="645EBF1E"/>
    <w:lvl w:ilvl="0">
      <w:start w:val="1"/>
      <w:numFmt w:val="decimal"/>
      <w:lvlText w:val="%1."/>
      <w:legacy w:legacy="1" w:legacySpace="0" w:legacyIndent="360"/>
      <w:lvlJc w:val="left"/>
      <w:pPr>
        <w:ind w:left="1069" w:hanging="360"/>
      </w:pPr>
    </w:lvl>
  </w:abstractNum>
  <w:abstractNum w:abstractNumId="2">
    <w:nsid w:val="047955FA"/>
    <w:multiLevelType w:val="singleLevel"/>
    <w:tmpl w:val="85709A7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B0376CC"/>
    <w:multiLevelType w:val="singleLevel"/>
    <w:tmpl w:val="3BC45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BC9015E"/>
    <w:multiLevelType w:val="hybridMultilevel"/>
    <w:tmpl w:val="3D8CB038"/>
    <w:lvl w:ilvl="0" w:tplc="D9041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CB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74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32F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471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680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E4C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25D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940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1621CC"/>
    <w:multiLevelType w:val="singleLevel"/>
    <w:tmpl w:val="3BC45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5B777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12631D"/>
    <w:multiLevelType w:val="singleLevel"/>
    <w:tmpl w:val="85709A7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46E63416"/>
    <w:multiLevelType w:val="singleLevel"/>
    <w:tmpl w:val="3BC45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7ED4E13"/>
    <w:multiLevelType w:val="hybridMultilevel"/>
    <w:tmpl w:val="C3EA83C6"/>
    <w:lvl w:ilvl="0" w:tplc="DF685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0048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280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21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EC3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66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E8C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CF0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609F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0"/>
  </w:num>
  <w:num w:numId="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79E"/>
    <w:rsid w:val="0005077B"/>
    <w:rsid w:val="001E679E"/>
    <w:rsid w:val="00C46DB8"/>
    <w:rsid w:val="00D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1AAFCC-7B37-44F7-9696-17812C85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vertAlign w:val="superscript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a4">
    <w:name w:val="footnote text"/>
    <w:basedOn w:val="a"/>
    <w:link w:val="a5"/>
    <w:uiPriority w:val="99"/>
    <w:pPr>
      <w:overflowPunct w:val="0"/>
      <w:autoSpaceDE w:val="0"/>
      <w:autoSpaceDN w:val="0"/>
      <w:adjustRightInd w:val="0"/>
    </w:pPr>
  </w:style>
  <w:style w:type="character" w:customStyle="1" w:styleId="a5">
    <w:name w:val="Текст сноски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6051</Words>
  <Characters>3450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МЕЖДУНАРОДНО-ПРАВОВОЙ РЕЖИМ МЕЖДУНАРОДНЫХ ПРОЛИВОВ</vt:lpstr>
    </vt:vector>
  </TitlesOfParts>
  <Company>PERSONAL COMPUTERS</Company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МЕЖДУНАРОДНО-ПРАВОВОЙ РЕЖИМ МЕЖДУНАРОДНЫХ ПРОЛИВОВ</dc:title>
  <dc:subject/>
  <dc:creator>USER</dc:creator>
  <cp:keywords/>
  <dc:description/>
  <cp:lastModifiedBy>admin</cp:lastModifiedBy>
  <cp:revision>2</cp:revision>
  <dcterms:created xsi:type="dcterms:W3CDTF">2014-01-26T19:49:00Z</dcterms:created>
  <dcterms:modified xsi:type="dcterms:W3CDTF">2014-01-26T19:49:00Z</dcterms:modified>
</cp:coreProperties>
</file>