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C7" w:rsidRDefault="00CB2EC7">
      <w:pPr>
        <w:widowControl w:val="0"/>
        <w:spacing w:before="120"/>
        <w:jc w:val="center"/>
        <w:rPr>
          <w:b/>
          <w:bCs/>
          <w:color w:val="000000"/>
          <w:sz w:val="32"/>
          <w:szCs w:val="32"/>
        </w:rPr>
      </w:pPr>
      <w:r>
        <w:rPr>
          <w:b/>
          <w:bCs/>
          <w:color w:val="000000"/>
          <w:sz w:val="32"/>
          <w:szCs w:val="32"/>
        </w:rPr>
        <w:t>МЕЖДУНАРОДНОЕ СОТРУДНИЧЕСТВО В ОБЛАСТИ ОХРАНЫ ПРОМЫШЛЕННОЙ СОБСТВЕННОСТИ</w:t>
      </w:r>
    </w:p>
    <w:p w:rsidR="00CB2EC7" w:rsidRDefault="00CB2EC7">
      <w:pPr>
        <w:widowControl w:val="0"/>
        <w:spacing w:before="120"/>
        <w:jc w:val="center"/>
        <w:rPr>
          <w:b/>
          <w:bCs/>
          <w:color w:val="000000"/>
          <w:sz w:val="28"/>
          <w:szCs w:val="28"/>
        </w:rPr>
      </w:pPr>
      <w:r>
        <w:rPr>
          <w:b/>
          <w:bCs/>
          <w:color w:val="000000"/>
          <w:sz w:val="28"/>
          <w:szCs w:val="28"/>
        </w:rPr>
        <w:t>Парижская конвенция</w:t>
      </w:r>
    </w:p>
    <w:p w:rsidR="00CB2EC7" w:rsidRDefault="00CB2EC7">
      <w:pPr>
        <w:widowControl w:val="0"/>
        <w:spacing w:before="120"/>
        <w:jc w:val="center"/>
        <w:rPr>
          <w:b/>
          <w:bCs/>
          <w:color w:val="000000"/>
          <w:sz w:val="28"/>
          <w:szCs w:val="28"/>
        </w:rPr>
      </w:pPr>
      <w:r>
        <w:rPr>
          <w:b/>
          <w:bCs/>
          <w:color w:val="000000"/>
          <w:sz w:val="28"/>
          <w:szCs w:val="28"/>
        </w:rPr>
        <w:t>История Парижской конвенции</w:t>
      </w:r>
    </w:p>
    <w:p w:rsidR="00CB2EC7" w:rsidRDefault="00CB2EC7">
      <w:pPr>
        <w:widowControl w:val="0"/>
        <w:spacing w:before="120"/>
        <w:ind w:firstLine="567"/>
        <w:jc w:val="both"/>
        <w:rPr>
          <w:color w:val="000000"/>
          <w:sz w:val="24"/>
          <w:szCs w:val="24"/>
        </w:rPr>
      </w:pPr>
      <w:r>
        <w:rPr>
          <w:color w:val="000000"/>
          <w:sz w:val="24"/>
          <w:szCs w:val="24"/>
        </w:rPr>
        <w:t>Парижская конвенция является наиболее многосторонним универсальным международным соглашением в области охраны промышленной собственности.</w:t>
      </w:r>
    </w:p>
    <w:p w:rsidR="00CB2EC7" w:rsidRDefault="00CB2EC7">
      <w:pPr>
        <w:widowControl w:val="0"/>
        <w:spacing w:before="120"/>
        <w:ind w:firstLine="567"/>
        <w:jc w:val="both"/>
        <w:rPr>
          <w:color w:val="000000"/>
          <w:sz w:val="24"/>
          <w:szCs w:val="24"/>
        </w:rPr>
      </w:pPr>
      <w:r>
        <w:rPr>
          <w:color w:val="000000"/>
          <w:sz w:val="24"/>
          <w:szCs w:val="24"/>
        </w:rPr>
        <w:t>В Конвенции не содержится единых правовых норм, касающихся охраны промышленной собственности в странах-участницах. Она исходит из того, что основные вопросы охраны объектов промышленной собственности регулируются исключительно внутренним законодательством государств-участников, тем самым участие в Конвенции не устраняет необходимости патентования этих объектов в других странах-участницах.</w:t>
      </w:r>
    </w:p>
    <w:p w:rsidR="00CB2EC7" w:rsidRDefault="00CB2EC7">
      <w:pPr>
        <w:widowControl w:val="0"/>
        <w:spacing w:before="120"/>
        <w:ind w:firstLine="567"/>
        <w:jc w:val="both"/>
        <w:rPr>
          <w:color w:val="000000"/>
          <w:sz w:val="24"/>
          <w:szCs w:val="24"/>
        </w:rPr>
      </w:pPr>
      <w:r>
        <w:rPr>
          <w:color w:val="000000"/>
          <w:sz w:val="24"/>
          <w:szCs w:val="24"/>
        </w:rPr>
        <w:t>Универсальность Конвенции заключается в том, что она предоставляет присоединившимся к ней странам полную свободу действий в отношении национальных законодательств по охране промышленной собственности, за исключением немногочисленных положений, которые в обязательном порядке должны соблюдаться странами-участниками. В наибольшей степени ее универсальность проявляется в создании льготных условий для получения охраны объектов промышленной собственности иностранцами.</w:t>
      </w:r>
    </w:p>
    <w:p w:rsidR="00CB2EC7" w:rsidRDefault="00CB2EC7">
      <w:pPr>
        <w:widowControl w:val="0"/>
        <w:spacing w:before="120"/>
        <w:ind w:firstLine="567"/>
        <w:jc w:val="both"/>
        <w:rPr>
          <w:color w:val="000000"/>
          <w:sz w:val="24"/>
          <w:szCs w:val="24"/>
        </w:rPr>
      </w:pPr>
      <w:r>
        <w:rPr>
          <w:color w:val="000000"/>
          <w:sz w:val="24"/>
          <w:szCs w:val="24"/>
        </w:rPr>
        <w:t>20 марта 1883 г. одиннадцатью государствами была подписана Парижская конвенция по охране промышленной собственности, основные положения которой действуют по настоящее время. На 1 января 1990 г. членами парижского союза по охране промышленной собственности являются 100 государств.</w:t>
      </w:r>
    </w:p>
    <w:p w:rsidR="00CB2EC7" w:rsidRDefault="00CB2EC7">
      <w:pPr>
        <w:widowControl w:val="0"/>
        <w:spacing w:before="120"/>
        <w:ind w:firstLine="567"/>
        <w:jc w:val="both"/>
        <w:rPr>
          <w:color w:val="000000"/>
          <w:sz w:val="24"/>
          <w:szCs w:val="24"/>
        </w:rPr>
      </w:pPr>
      <w:r>
        <w:rPr>
          <w:color w:val="000000"/>
          <w:sz w:val="24"/>
          <w:szCs w:val="24"/>
        </w:rPr>
        <w:t>Более чем за 100-летний период существования парижской конвенции она неоднократно пересматривалась, и в ее текст вносились изменения. В настоящее время сохраняют правовое значения различия между ее последующими редакциями: Брюссельской /1900г./. Вашингтонской /1911г./. Гаагской /1925г./. Лондонской /1934г./. Лиссабонской /1958г./. Стокгольмской /1967г./. Каждая страна связана с другими условиями той редакции, которую она ратифицировала. СССР присоединился к Парижской конвенции в 1965г. и ратифицировал все редакции, действующие на этот период, а в последствии - и Стокгольмскую редакцию.</w:t>
      </w:r>
    </w:p>
    <w:p w:rsidR="00CB2EC7" w:rsidRDefault="00CB2EC7">
      <w:pPr>
        <w:widowControl w:val="0"/>
        <w:spacing w:before="120"/>
        <w:ind w:firstLine="567"/>
        <w:jc w:val="both"/>
        <w:rPr>
          <w:color w:val="000000"/>
          <w:sz w:val="24"/>
          <w:szCs w:val="24"/>
        </w:rPr>
      </w:pPr>
      <w:r>
        <w:rPr>
          <w:color w:val="000000"/>
          <w:sz w:val="24"/>
          <w:szCs w:val="24"/>
        </w:rPr>
        <w:t>Подавляющее большинство стран ратифицировало Стокгольмскую редакцию, но в некоторых еще действуют Лондонская и Лиссабонская редакции.</w:t>
      </w:r>
    </w:p>
    <w:p w:rsidR="00CB2EC7" w:rsidRDefault="00CB2EC7">
      <w:pPr>
        <w:widowControl w:val="0"/>
        <w:spacing w:before="120"/>
        <w:ind w:firstLine="567"/>
        <w:jc w:val="both"/>
        <w:rPr>
          <w:color w:val="000000"/>
          <w:sz w:val="24"/>
          <w:szCs w:val="24"/>
        </w:rPr>
      </w:pPr>
      <w:r>
        <w:rPr>
          <w:color w:val="000000"/>
          <w:sz w:val="24"/>
          <w:szCs w:val="24"/>
        </w:rPr>
        <w:t>Конвенция открыта для всех государств. Присоединение к Конвенции влечет за собой признание ряда ее положений и получение устанавливаемых ею преимуществ.</w:t>
      </w:r>
    </w:p>
    <w:p w:rsidR="00CB2EC7" w:rsidRDefault="00CB2EC7">
      <w:pPr>
        <w:widowControl w:val="0"/>
        <w:spacing w:before="120"/>
        <w:jc w:val="center"/>
        <w:rPr>
          <w:b/>
          <w:bCs/>
          <w:color w:val="000000"/>
          <w:sz w:val="28"/>
          <w:szCs w:val="28"/>
        </w:rPr>
      </w:pPr>
      <w:r>
        <w:rPr>
          <w:b/>
          <w:bCs/>
          <w:color w:val="000000"/>
          <w:sz w:val="28"/>
          <w:szCs w:val="28"/>
        </w:rPr>
        <w:t>Общие положения Парижской конвенции, относящиеся к охране промышленной собственности.</w:t>
      </w:r>
    </w:p>
    <w:p w:rsidR="00CB2EC7" w:rsidRDefault="00CB2EC7">
      <w:pPr>
        <w:widowControl w:val="0"/>
        <w:spacing w:before="120"/>
        <w:jc w:val="center"/>
        <w:rPr>
          <w:b/>
          <w:bCs/>
          <w:color w:val="000000"/>
          <w:sz w:val="28"/>
          <w:szCs w:val="28"/>
        </w:rPr>
      </w:pPr>
      <w:r>
        <w:rPr>
          <w:b/>
          <w:bCs/>
          <w:color w:val="000000"/>
          <w:sz w:val="28"/>
          <w:szCs w:val="28"/>
        </w:rPr>
        <w:t>Принцип национального режима</w:t>
      </w:r>
    </w:p>
    <w:p w:rsidR="00CB2EC7" w:rsidRDefault="00CB2EC7">
      <w:pPr>
        <w:widowControl w:val="0"/>
        <w:spacing w:before="120"/>
        <w:ind w:firstLine="567"/>
        <w:jc w:val="both"/>
        <w:rPr>
          <w:color w:val="000000"/>
          <w:sz w:val="24"/>
          <w:szCs w:val="24"/>
        </w:rPr>
      </w:pPr>
      <w:r>
        <w:rPr>
          <w:color w:val="000000"/>
          <w:sz w:val="24"/>
          <w:szCs w:val="24"/>
        </w:rPr>
        <w:t>Одним из основополагающих принципов Парижской конвенций является принцип национального режима. Он означает, что иностранные граждане и фирмы пользуются теми же правами, которые национальный закон предоставляет в отношении охраны промышленной собственности отечественным заявителям. Такой же национальный режим должен быть предоставлен гражданам государств, не являющихся участниками Конвенции, но имеющим постоянное местожительства или "действительное серьезное" промышленной или торговое предприятие на территории одной из стран-участниц Конвенции.</w:t>
      </w:r>
    </w:p>
    <w:p w:rsidR="00CB2EC7" w:rsidRDefault="00CB2EC7">
      <w:pPr>
        <w:widowControl w:val="0"/>
        <w:spacing w:before="120"/>
        <w:jc w:val="center"/>
        <w:rPr>
          <w:b/>
          <w:bCs/>
          <w:color w:val="000000"/>
          <w:sz w:val="28"/>
          <w:szCs w:val="28"/>
        </w:rPr>
      </w:pPr>
      <w:r>
        <w:rPr>
          <w:b/>
          <w:bCs/>
          <w:color w:val="000000"/>
          <w:sz w:val="28"/>
          <w:szCs w:val="28"/>
        </w:rPr>
        <w:t>Конвенционный приоритет</w:t>
      </w:r>
    </w:p>
    <w:p w:rsidR="00CB2EC7" w:rsidRDefault="00CB2EC7">
      <w:pPr>
        <w:widowControl w:val="0"/>
        <w:spacing w:before="120"/>
        <w:ind w:firstLine="567"/>
        <w:jc w:val="both"/>
        <w:rPr>
          <w:color w:val="000000"/>
          <w:sz w:val="24"/>
          <w:szCs w:val="24"/>
        </w:rPr>
      </w:pPr>
      <w:r>
        <w:rPr>
          <w:color w:val="000000"/>
          <w:sz w:val="24"/>
          <w:szCs w:val="24"/>
        </w:rPr>
        <w:t>Важнейшее преимущество, которое предоставляется странам-участницам Конвенции - право приоритета (конвенционный приоритет). Оно предусматривает, что любой заявитель или его правопреемник, подавший правильно оформленную заявку на патент на изобретение, полезную модель, промышленный образец или товарный знак в одной стране, может в течение определенного срока истребовать охрану во всех остальных странах-участницах с сохранением приоритета первой заявки. Для патентов на изобретения и полезные модели этот срок равен 12 месяцам со дня подачи первоначальной заявки, для промышленных образцов и товарных знаков - 6 мес.</w:t>
      </w:r>
    </w:p>
    <w:p w:rsidR="00CB2EC7" w:rsidRDefault="00CB2EC7">
      <w:pPr>
        <w:widowControl w:val="0"/>
        <w:spacing w:before="120"/>
        <w:ind w:firstLine="567"/>
        <w:jc w:val="both"/>
        <w:rPr>
          <w:color w:val="000000"/>
          <w:sz w:val="24"/>
          <w:szCs w:val="24"/>
        </w:rPr>
      </w:pPr>
      <w:r>
        <w:rPr>
          <w:color w:val="000000"/>
          <w:sz w:val="24"/>
          <w:szCs w:val="24"/>
        </w:rPr>
        <w:t>Правило о конвенционном приоритете позволяет заявителю оформить заявочную документацию для подачи ее в патентные ведомства стран-участниц без опасения в течение установленного срока утратить новизну предмета заявки, так как любые действия, совершаемые в период между датами подачи первой и более поздних заявок в пределах оговоренного срока, не лишают заявителя права на получение охранного документа по более поздней заявке.</w:t>
      </w:r>
    </w:p>
    <w:p w:rsidR="00CB2EC7" w:rsidRDefault="00CB2EC7">
      <w:pPr>
        <w:widowControl w:val="0"/>
        <w:spacing w:before="120"/>
        <w:ind w:firstLine="567"/>
        <w:jc w:val="both"/>
        <w:rPr>
          <w:color w:val="000000"/>
          <w:sz w:val="24"/>
          <w:szCs w:val="24"/>
        </w:rPr>
      </w:pPr>
      <w:r>
        <w:rPr>
          <w:color w:val="000000"/>
          <w:sz w:val="24"/>
          <w:szCs w:val="24"/>
        </w:rPr>
        <w:t>Отказ или изъятие первой заявки не являются препятствием для истребования по ней льготного конвенционного приоритета.</w:t>
      </w:r>
    </w:p>
    <w:p w:rsidR="00CB2EC7" w:rsidRDefault="00CB2EC7">
      <w:pPr>
        <w:widowControl w:val="0"/>
        <w:spacing w:before="120"/>
        <w:ind w:firstLine="567"/>
        <w:jc w:val="both"/>
        <w:rPr>
          <w:color w:val="000000"/>
          <w:sz w:val="24"/>
          <w:szCs w:val="24"/>
        </w:rPr>
      </w:pPr>
      <w:r>
        <w:rPr>
          <w:color w:val="000000"/>
          <w:sz w:val="24"/>
          <w:szCs w:val="24"/>
        </w:rPr>
        <w:t>Согласно конвенции первая и последующие заявки могут быть поданы разными лицами, однако, совпадение предмета первой и последующих заявок обязательно.</w:t>
      </w:r>
    </w:p>
    <w:p w:rsidR="00CB2EC7" w:rsidRDefault="00CB2EC7">
      <w:pPr>
        <w:widowControl w:val="0"/>
        <w:spacing w:before="120"/>
        <w:ind w:firstLine="567"/>
        <w:jc w:val="both"/>
        <w:rPr>
          <w:color w:val="000000"/>
          <w:sz w:val="24"/>
          <w:szCs w:val="24"/>
        </w:rPr>
      </w:pPr>
      <w:r>
        <w:rPr>
          <w:color w:val="000000"/>
          <w:sz w:val="24"/>
          <w:szCs w:val="24"/>
        </w:rPr>
        <w:t>Конвенцией допускается подача заявок с "множественным" и "частичным" приоритетом. Множественный приоритет возникает в отношении двух или более заявок на патенты, относящихся к одному и тому же техническому решению, поданных в одной или нескольких странах, а затем объединенных в одну общую заявку для подачи в другую страну - участницу Конвенции. Право приоритета при этом возникает для отдельных частей заявки, которые могут иметь и разные даты приоритета.</w:t>
      </w:r>
    </w:p>
    <w:p w:rsidR="00CB2EC7" w:rsidRDefault="00CB2EC7">
      <w:pPr>
        <w:widowControl w:val="0"/>
        <w:spacing w:before="120"/>
        <w:jc w:val="center"/>
        <w:rPr>
          <w:b/>
          <w:bCs/>
          <w:color w:val="000000"/>
          <w:sz w:val="28"/>
          <w:szCs w:val="28"/>
        </w:rPr>
      </w:pPr>
      <w:r>
        <w:rPr>
          <w:b/>
          <w:bCs/>
          <w:color w:val="000000"/>
          <w:sz w:val="28"/>
          <w:szCs w:val="28"/>
        </w:rPr>
        <w:t>Временная охрана объектов, экспонируемых на международных выставках</w:t>
      </w:r>
    </w:p>
    <w:p w:rsidR="00CB2EC7" w:rsidRDefault="00CB2EC7">
      <w:pPr>
        <w:widowControl w:val="0"/>
        <w:spacing w:before="120"/>
        <w:ind w:firstLine="567"/>
        <w:jc w:val="both"/>
        <w:rPr>
          <w:color w:val="000000"/>
          <w:sz w:val="24"/>
          <w:szCs w:val="24"/>
        </w:rPr>
      </w:pPr>
      <w:r>
        <w:rPr>
          <w:color w:val="000000"/>
          <w:sz w:val="24"/>
          <w:szCs w:val="24"/>
        </w:rPr>
        <w:t>В целях сохранения новизны страны-участницы в соответствии со своим законодательством предоставляют временную охрану изобретениям, полезным моделям, промышленным образцам, а также товарным знакам для продуктов, экспонируемых на официальных или официально признанных международных выставках, организованных на территории одной из этих стран Временная охрана перечисленных объектов может осуществляться национальными законодательствами различными способами: в одних странах она обеспечивается установлением льготы по приоритету, в других - льготы по новизне. (В большинстве промышленно развитых стран действует льгота по новизне).</w:t>
      </w:r>
    </w:p>
    <w:p w:rsidR="00CB2EC7" w:rsidRDefault="00CB2EC7">
      <w:pPr>
        <w:widowControl w:val="0"/>
        <w:spacing w:before="120"/>
        <w:jc w:val="center"/>
        <w:rPr>
          <w:b/>
          <w:bCs/>
          <w:color w:val="000000"/>
          <w:sz w:val="28"/>
          <w:szCs w:val="28"/>
        </w:rPr>
      </w:pPr>
      <w:r>
        <w:rPr>
          <w:b/>
          <w:bCs/>
          <w:color w:val="000000"/>
          <w:sz w:val="28"/>
          <w:szCs w:val="28"/>
        </w:rPr>
        <w:t>Принцип независимости патентов</w:t>
      </w:r>
    </w:p>
    <w:p w:rsidR="00CB2EC7" w:rsidRDefault="00CB2EC7">
      <w:pPr>
        <w:widowControl w:val="0"/>
        <w:spacing w:before="120"/>
        <w:ind w:firstLine="567"/>
        <w:jc w:val="both"/>
        <w:rPr>
          <w:color w:val="000000"/>
          <w:sz w:val="24"/>
          <w:szCs w:val="24"/>
        </w:rPr>
      </w:pPr>
      <w:r>
        <w:rPr>
          <w:color w:val="000000"/>
          <w:sz w:val="24"/>
          <w:szCs w:val="24"/>
        </w:rPr>
        <w:t>Согласно Конвенции патенты, выданные на одно и то же изобретение в разных странах-участницах Конвенции независимы друг от друга. Основной причиной введения принципа независимости патентов являются значительные различия национальных законов: если патент, выданный в одной стране затем будет признан в ней недействительным, то это вовсе не означает, что он может быть признан таковым на основании патентных законодательств других стран. Даже если приоритет патентов в других странах был установлен на основании этого признанного впоследствии недействительным патента.</w:t>
      </w:r>
    </w:p>
    <w:p w:rsidR="00CB2EC7" w:rsidRDefault="00CB2EC7">
      <w:pPr>
        <w:widowControl w:val="0"/>
        <w:spacing w:before="120"/>
        <w:jc w:val="center"/>
        <w:rPr>
          <w:b/>
          <w:bCs/>
          <w:color w:val="000000"/>
          <w:sz w:val="28"/>
          <w:szCs w:val="28"/>
        </w:rPr>
      </w:pPr>
      <w:r>
        <w:rPr>
          <w:b/>
          <w:bCs/>
          <w:color w:val="000000"/>
          <w:sz w:val="28"/>
          <w:szCs w:val="28"/>
        </w:rPr>
        <w:t>Санкции за неиспользование изобретения</w:t>
      </w:r>
    </w:p>
    <w:p w:rsidR="00CB2EC7" w:rsidRDefault="00CB2EC7">
      <w:pPr>
        <w:widowControl w:val="0"/>
        <w:spacing w:before="120"/>
        <w:ind w:firstLine="567"/>
        <w:jc w:val="both"/>
        <w:rPr>
          <w:color w:val="000000"/>
          <w:sz w:val="24"/>
          <w:szCs w:val="24"/>
        </w:rPr>
      </w:pPr>
      <w:r>
        <w:rPr>
          <w:color w:val="000000"/>
          <w:sz w:val="24"/>
          <w:szCs w:val="24"/>
        </w:rPr>
        <w:t>В Конвенции также содержится правило, согласно которому каждой стране - участнице предоставляется право включать в патентные законы нормы, предусматривающие санкции за неиспользование или недостаточное использование изобретения. Такими санкциями могут быть выдача принудительной лицензии или аннулирование патента.</w:t>
      </w:r>
    </w:p>
    <w:p w:rsidR="00CB2EC7" w:rsidRDefault="00CB2EC7">
      <w:pPr>
        <w:widowControl w:val="0"/>
        <w:spacing w:before="120"/>
        <w:ind w:firstLine="567"/>
        <w:jc w:val="both"/>
        <w:rPr>
          <w:color w:val="000000"/>
          <w:sz w:val="24"/>
          <w:szCs w:val="24"/>
        </w:rPr>
      </w:pPr>
      <w:r>
        <w:rPr>
          <w:color w:val="000000"/>
          <w:sz w:val="24"/>
          <w:szCs w:val="24"/>
        </w:rPr>
        <w:t>Требование о выдаче принудительной лицензии вследствие не использования может быть удовлетворено лишь по истечении определенного срока: 4 лет с момента подачи заявки или 3 лет с момента выдачи патента, в зависимости от того, какой срок истекает позднее.</w:t>
      </w:r>
    </w:p>
    <w:p w:rsidR="00CB2EC7" w:rsidRDefault="00CB2EC7">
      <w:pPr>
        <w:widowControl w:val="0"/>
        <w:spacing w:before="120"/>
        <w:ind w:firstLine="567"/>
        <w:jc w:val="both"/>
        <w:rPr>
          <w:color w:val="000000"/>
          <w:sz w:val="24"/>
          <w:szCs w:val="24"/>
        </w:rPr>
      </w:pPr>
      <w:r>
        <w:rPr>
          <w:color w:val="000000"/>
          <w:sz w:val="24"/>
          <w:szCs w:val="24"/>
        </w:rPr>
        <w:t>Принудительные лицензии могут выдаваться по мотивам "общественных интересов", когда патент признается имеющим особо важное социальное, экономическое или оборонное значение для страны.</w:t>
      </w:r>
    </w:p>
    <w:p w:rsidR="00CB2EC7" w:rsidRDefault="00CB2EC7">
      <w:pPr>
        <w:widowControl w:val="0"/>
        <w:spacing w:before="120"/>
        <w:ind w:firstLine="567"/>
        <w:jc w:val="both"/>
        <w:rPr>
          <w:color w:val="000000"/>
          <w:sz w:val="24"/>
          <w:szCs w:val="24"/>
        </w:rPr>
      </w:pPr>
      <w:r>
        <w:rPr>
          <w:color w:val="000000"/>
          <w:sz w:val="24"/>
          <w:szCs w:val="24"/>
        </w:rPr>
        <w:t>Принудительные лицензии являются неисключительными и не лишают патентообладателя права самому использовать данные изобретение или выдать лицензию на добровольных началах другому лицу. Патент может быть аннулирован только в тех случаях, когда выдачи принудительной лицензии недостаточно для предупреждения злоупотребления его обладателем. При этом процедура по аннулированию патента не может быть начата до истечения 2 лет с момента выдачи принудительной лицензии.</w:t>
      </w:r>
    </w:p>
    <w:p w:rsidR="00CB2EC7" w:rsidRDefault="00CB2EC7">
      <w:pPr>
        <w:widowControl w:val="0"/>
        <w:spacing w:before="120"/>
        <w:ind w:firstLine="567"/>
        <w:jc w:val="both"/>
        <w:rPr>
          <w:color w:val="000000"/>
          <w:sz w:val="24"/>
          <w:szCs w:val="24"/>
        </w:rPr>
      </w:pPr>
      <w:r>
        <w:rPr>
          <w:color w:val="000000"/>
          <w:sz w:val="24"/>
          <w:szCs w:val="24"/>
        </w:rPr>
        <w:t>Принудительные лицензии могут быть выданы и в тех случаях, когда возникает зависимость патентов, т.е. если запатентованное изобретение не может быть использовано без использования изобретения, охраняемого патентом, выданным другому лицу, то владелец зависимого патента имеет право потребовать выдачи принудительной лицензии. В свою очередь его также можно обязать выдать лицензию владельцу основного изобретения.</w:t>
      </w:r>
    </w:p>
    <w:p w:rsidR="00CB2EC7" w:rsidRDefault="00CB2EC7">
      <w:pPr>
        <w:widowControl w:val="0"/>
        <w:spacing w:before="120"/>
        <w:jc w:val="center"/>
        <w:rPr>
          <w:b/>
          <w:bCs/>
          <w:color w:val="000000"/>
          <w:sz w:val="28"/>
          <w:szCs w:val="28"/>
        </w:rPr>
      </w:pPr>
      <w:r>
        <w:rPr>
          <w:b/>
          <w:bCs/>
          <w:color w:val="000000"/>
          <w:sz w:val="28"/>
          <w:szCs w:val="28"/>
        </w:rPr>
        <w:t>Использование охраняемых объектов на транспортных средствах</w:t>
      </w:r>
    </w:p>
    <w:p w:rsidR="00CB2EC7" w:rsidRDefault="00CB2EC7">
      <w:pPr>
        <w:widowControl w:val="0"/>
        <w:spacing w:before="120"/>
        <w:ind w:firstLine="567"/>
        <w:jc w:val="both"/>
        <w:rPr>
          <w:color w:val="000000"/>
          <w:sz w:val="24"/>
          <w:szCs w:val="24"/>
        </w:rPr>
      </w:pPr>
      <w:r>
        <w:rPr>
          <w:color w:val="000000"/>
          <w:sz w:val="24"/>
          <w:szCs w:val="24"/>
        </w:rPr>
        <w:t>Согласно Конвенции не считается нарушением патента использование охраняемых изобретений на водном, воздушном или сухопутном транспорте, если транспортное средство, принадлежащее одной из стран Союза, временно или случайно находится на территории страны, где действует патент, при условии, что изобретения применяются исключительно для нужд транспортного средства.</w:t>
      </w:r>
    </w:p>
    <w:p w:rsidR="00CB2EC7" w:rsidRDefault="00CB2EC7">
      <w:pPr>
        <w:widowControl w:val="0"/>
        <w:spacing w:before="120"/>
        <w:jc w:val="center"/>
        <w:rPr>
          <w:b/>
          <w:bCs/>
          <w:color w:val="000000"/>
          <w:sz w:val="28"/>
          <w:szCs w:val="28"/>
        </w:rPr>
      </w:pPr>
      <w:r>
        <w:rPr>
          <w:b/>
          <w:bCs/>
          <w:color w:val="000000"/>
          <w:sz w:val="28"/>
          <w:szCs w:val="28"/>
        </w:rPr>
        <w:t>Преждепользование</w:t>
      </w:r>
    </w:p>
    <w:p w:rsidR="00CB2EC7" w:rsidRDefault="00CB2EC7">
      <w:pPr>
        <w:widowControl w:val="0"/>
        <w:spacing w:before="120"/>
        <w:ind w:firstLine="567"/>
        <w:jc w:val="both"/>
        <w:rPr>
          <w:color w:val="000000"/>
          <w:sz w:val="24"/>
          <w:szCs w:val="24"/>
        </w:rPr>
      </w:pPr>
      <w:r>
        <w:rPr>
          <w:color w:val="000000"/>
          <w:sz w:val="24"/>
          <w:szCs w:val="24"/>
        </w:rPr>
        <w:t xml:space="preserve">Патент также не действует против преждепользователя. </w:t>
      </w:r>
    </w:p>
    <w:p w:rsidR="00CB2EC7" w:rsidRDefault="00CB2EC7">
      <w:pPr>
        <w:widowControl w:val="0"/>
        <w:spacing w:before="120"/>
        <w:jc w:val="center"/>
        <w:rPr>
          <w:b/>
          <w:bCs/>
          <w:color w:val="000000"/>
          <w:sz w:val="28"/>
          <w:szCs w:val="28"/>
        </w:rPr>
      </w:pPr>
      <w:r>
        <w:rPr>
          <w:b/>
          <w:bCs/>
          <w:color w:val="000000"/>
          <w:sz w:val="28"/>
          <w:szCs w:val="28"/>
        </w:rPr>
        <w:t>Использование товарных знаков</w:t>
      </w:r>
    </w:p>
    <w:p w:rsidR="00CB2EC7" w:rsidRDefault="00CB2EC7">
      <w:pPr>
        <w:widowControl w:val="0"/>
        <w:spacing w:before="120"/>
        <w:ind w:firstLine="567"/>
        <w:jc w:val="both"/>
        <w:rPr>
          <w:color w:val="000000"/>
          <w:sz w:val="24"/>
          <w:szCs w:val="24"/>
        </w:rPr>
      </w:pPr>
      <w:r>
        <w:rPr>
          <w:color w:val="000000"/>
          <w:sz w:val="24"/>
          <w:szCs w:val="24"/>
        </w:rPr>
        <w:t>В некоторых странах, где предусмотрена регистрация товарных знаков, требуется также, чтобы знак, будучи зарегистрированным, обязательно использовался в течение определенного периода. В противном случае товарный знак может быть исключен из регистра. При этом под использованием обычно понимается продажа товаров, маркированных данным знаком, хотя национальное законодательство может более широко интерпретировать термин "использование".</w:t>
      </w:r>
    </w:p>
    <w:p w:rsidR="00CB2EC7" w:rsidRDefault="00CB2EC7">
      <w:pPr>
        <w:widowControl w:val="0"/>
        <w:spacing w:before="120"/>
        <w:ind w:firstLine="567"/>
        <w:jc w:val="both"/>
        <w:rPr>
          <w:color w:val="000000"/>
          <w:sz w:val="24"/>
          <w:szCs w:val="24"/>
        </w:rPr>
      </w:pPr>
      <w:r>
        <w:rPr>
          <w:color w:val="000000"/>
          <w:sz w:val="24"/>
          <w:szCs w:val="24"/>
        </w:rPr>
        <w:t>Статья 5С(1) устанавливает, что если требуется обязательное использование, то регистрация товарного знака может быть аннулирована на основании неиспользования только по истечении достаточного периода времени и только в случае, если владелец знака не представит доказательств, оправдывающих причины своего бездействия.</w:t>
      </w:r>
    </w:p>
    <w:p w:rsidR="00CB2EC7" w:rsidRDefault="00CB2EC7">
      <w:pPr>
        <w:widowControl w:val="0"/>
        <w:spacing w:before="120"/>
        <w:ind w:firstLine="567"/>
        <w:jc w:val="both"/>
        <w:rPr>
          <w:color w:val="000000"/>
          <w:sz w:val="24"/>
          <w:szCs w:val="24"/>
        </w:rPr>
      </w:pPr>
      <w:r>
        <w:rPr>
          <w:color w:val="000000"/>
          <w:sz w:val="24"/>
          <w:szCs w:val="24"/>
        </w:rPr>
        <w:t>Определение "достаточного периода" оставлено за национальным законодательством каждой страны или же его устанавливают соответствующие компетентные органы. Этот период предусмотрен для того, чтобы владелец товарного знака имел достаточно времени для подготовки к его использованию; при этом учитывается, что нередко владельцу приходится использовать этот знак в разных странах.</w:t>
      </w:r>
    </w:p>
    <w:p w:rsidR="00CB2EC7" w:rsidRDefault="00CB2EC7">
      <w:pPr>
        <w:widowControl w:val="0"/>
        <w:spacing w:before="120"/>
        <w:ind w:firstLine="567"/>
        <w:jc w:val="both"/>
        <w:rPr>
          <w:color w:val="000000"/>
          <w:sz w:val="24"/>
          <w:szCs w:val="24"/>
        </w:rPr>
      </w:pPr>
      <w:r>
        <w:rPr>
          <w:color w:val="000000"/>
          <w:sz w:val="24"/>
          <w:szCs w:val="24"/>
        </w:rPr>
        <w:t>Решение об аннулировании регистрации знака может быть принято, если владелец знака оправдает его неиспользование. Оправдание принимается, если оно обосновано юридическими и экономическими причинами, не зависящими от владельца, например если ввоз товаров был запрещен по решению правительства.</w:t>
      </w:r>
    </w:p>
    <w:p w:rsidR="00CB2EC7" w:rsidRDefault="00CB2EC7">
      <w:pPr>
        <w:widowControl w:val="0"/>
        <w:spacing w:before="120"/>
        <w:ind w:firstLine="567"/>
        <w:jc w:val="both"/>
        <w:rPr>
          <w:color w:val="000000"/>
          <w:sz w:val="24"/>
          <w:szCs w:val="24"/>
        </w:rPr>
      </w:pPr>
      <w:r>
        <w:rPr>
          <w:color w:val="000000"/>
          <w:sz w:val="24"/>
          <w:szCs w:val="24"/>
        </w:rPr>
        <w:t>Статьей 5С(2) конвенции устанавливается также, что использование товарного знака его владельцем в такой форме, которая отличается от зарегистрированной в какой-либо из стран Парижского союза лишь отдельными элементами, не изменяющими отличительного характера знака, не влечет за собой признания недействительности регистрации и не ограничивает уровня охраны знака.</w:t>
      </w:r>
    </w:p>
    <w:p w:rsidR="00CB2EC7" w:rsidRDefault="00CB2EC7">
      <w:pPr>
        <w:widowControl w:val="0"/>
        <w:spacing w:before="120"/>
        <w:jc w:val="center"/>
        <w:rPr>
          <w:b/>
          <w:bCs/>
          <w:color w:val="000000"/>
          <w:sz w:val="28"/>
          <w:szCs w:val="28"/>
        </w:rPr>
      </w:pPr>
      <w:r>
        <w:rPr>
          <w:b/>
          <w:bCs/>
          <w:color w:val="000000"/>
          <w:sz w:val="28"/>
          <w:szCs w:val="28"/>
        </w:rPr>
        <w:t>Одновременное использование одинаковых товарных знаков различными предприятиями</w:t>
      </w:r>
    </w:p>
    <w:p w:rsidR="00CB2EC7" w:rsidRDefault="00CB2EC7">
      <w:pPr>
        <w:widowControl w:val="0"/>
        <w:spacing w:before="120"/>
        <w:ind w:firstLine="567"/>
        <w:jc w:val="both"/>
        <w:rPr>
          <w:color w:val="000000"/>
          <w:sz w:val="24"/>
          <w:szCs w:val="24"/>
        </w:rPr>
      </w:pPr>
      <w:r>
        <w:rPr>
          <w:color w:val="000000"/>
          <w:sz w:val="24"/>
          <w:szCs w:val="24"/>
        </w:rPr>
        <w:t>Статья 5С(3) предусматривает, что использование знака для идентичных или сходных товаров двумя и более промышленными или торговыми предприятиями, рассматриваемыми в качестве совладельцев знака в соответствии с положениями закона страны, где испрашивается охрана, не препятствует регистрации знака и никоим образом не ограничивает охрану, предоставленную указанному знаку в какой-либо стране союза, если только такое применение не вводит потребителя в заблуждение или не противоречит общественным интересам.</w:t>
      </w:r>
    </w:p>
    <w:p w:rsidR="00CB2EC7" w:rsidRDefault="00CB2EC7">
      <w:pPr>
        <w:widowControl w:val="0"/>
        <w:spacing w:before="120"/>
        <w:ind w:firstLine="567"/>
        <w:jc w:val="both"/>
        <w:rPr>
          <w:color w:val="000000"/>
          <w:sz w:val="24"/>
          <w:szCs w:val="24"/>
        </w:rPr>
      </w:pPr>
      <w:r>
        <w:rPr>
          <w:color w:val="000000"/>
          <w:sz w:val="24"/>
          <w:szCs w:val="24"/>
        </w:rPr>
        <w:t>Это положение, однако, не касается случая использования товарного знака предприятиями, когда одновременное его применение вводит потребителя в заблуждение или противоречит общественным интересам. Подобное возможно, если одновременное использование знака не вводит потребителя в заблуждение относительно происхождения изделия, проданного с таким же знаком, или если качество товаров, продаваемых примерно в одно время совладельцами знака, различно. Такие случаи оставлены для национального законодательства.</w:t>
      </w:r>
    </w:p>
    <w:p w:rsidR="00CB2EC7" w:rsidRDefault="00CB2EC7">
      <w:pPr>
        <w:widowControl w:val="0"/>
        <w:spacing w:before="120"/>
        <w:jc w:val="center"/>
        <w:rPr>
          <w:b/>
          <w:bCs/>
          <w:color w:val="000000"/>
          <w:sz w:val="28"/>
          <w:szCs w:val="28"/>
        </w:rPr>
      </w:pPr>
      <w:r>
        <w:rPr>
          <w:b/>
          <w:bCs/>
          <w:color w:val="000000"/>
          <w:sz w:val="28"/>
          <w:szCs w:val="28"/>
        </w:rPr>
        <w:t>Льготный период для уплаты пошлины за возобновления права на товарный знак</w:t>
      </w:r>
    </w:p>
    <w:p w:rsidR="00CB2EC7" w:rsidRDefault="00CB2EC7">
      <w:pPr>
        <w:widowControl w:val="0"/>
        <w:spacing w:before="120"/>
        <w:ind w:firstLine="567"/>
        <w:jc w:val="both"/>
        <w:rPr>
          <w:color w:val="000000"/>
          <w:sz w:val="24"/>
          <w:szCs w:val="24"/>
        </w:rPr>
      </w:pPr>
      <w:r>
        <w:rPr>
          <w:color w:val="000000"/>
          <w:sz w:val="24"/>
          <w:szCs w:val="24"/>
        </w:rPr>
        <w:t>Статья 5bis требует, чтобы был установлен льготный период для уплаты пошлины за поддержание права промышленной собственности.</w:t>
      </w:r>
    </w:p>
    <w:p w:rsidR="00CB2EC7" w:rsidRDefault="00CB2EC7">
      <w:pPr>
        <w:widowControl w:val="0"/>
        <w:spacing w:before="120"/>
        <w:jc w:val="center"/>
        <w:rPr>
          <w:b/>
          <w:bCs/>
          <w:color w:val="000000"/>
          <w:sz w:val="28"/>
          <w:szCs w:val="28"/>
        </w:rPr>
      </w:pPr>
      <w:r>
        <w:rPr>
          <w:b/>
          <w:bCs/>
          <w:color w:val="000000"/>
          <w:sz w:val="28"/>
          <w:szCs w:val="28"/>
        </w:rPr>
        <w:t>Независимость товарных знаков</w:t>
      </w:r>
    </w:p>
    <w:p w:rsidR="00CB2EC7" w:rsidRDefault="00CB2EC7">
      <w:pPr>
        <w:widowControl w:val="0"/>
        <w:spacing w:before="120"/>
        <w:ind w:firstLine="567"/>
        <w:jc w:val="both"/>
        <w:rPr>
          <w:color w:val="000000"/>
          <w:sz w:val="24"/>
          <w:szCs w:val="24"/>
        </w:rPr>
      </w:pPr>
      <w:r>
        <w:rPr>
          <w:color w:val="000000"/>
          <w:sz w:val="24"/>
          <w:szCs w:val="24"/>
        </w:rPr>
        <w:t>Статья 6 конвенции устанавливает важный принцип независимости товарного знака в различных странах союза. В соответствии с этой статьей знак, должным образом зарегистрированный в одной из стран союза, рассматривается как независимый от других, зарегистрированных в прочих странах союза, включая страну происхождения знака. Это значит, что на зарегистрированный знак не будут автоматически распространяться решения, принятые относительно таких же знаков, зарегистрированных в других странах.</w:t>
      </w:r>
    </w:p>
    <w:p w:rsidR="00CB2EC7" w:rsidRDefault="00CB2EC7">
      <w:pPr>
        <w:widowControl w:val="0"/>
        <w:spacing w:before="120"/>
        <w:jc w:val="center"/>
        <w:rPr>
          <w:b/>
          <w:bCs/>
          <w:color w:val="000000"/>
          <w:sz w:val="28"/>
          <w:szCs w:val="28"/>
        </w:rPr>
      </w:pPr>
      <w:r>
        <w:rPr>
          <w:b/>
          <w:bCs/>
          <w:color w:val="000000"/>
          <w:sz w:val="28"/>
          <w:szCs w:val="28"/>
        </w:rPr>
        <w:t>Общеизвестные товарные знаки</w:t>
      </w:r>
    </w:p>
    <w:p w:rsidR="00CB2EC7" w:rsidRDefault="00CB2EC7">
      <w:pPr>
        <w:widowControl w:val="0"/>
        <w:spacing w:before="120"/>
        <w:ind w:firstLine="567"/>
        <w:jc w:val="both"/>
        <w:rPr>
          <w:color w:val="000000"/>
          <w:sz w:val="24"/>
          <w:szCs w:val="24"/>
        </w:rPr>
      </w:pPr>
      <w:r>
        <w:rPr>
          <w:color w:val="000000"/>
          <w:sz w:val="24"/>
          <w:szCs w:val="24"/>
        </w:rPr>
        <w:t>Статья 6bis обязывает страны — участницы конвенции отказать в регистрации или аннулировать регистрацию и запретить использование товарного знака, который может вступить в конфликт с другим, уже "общеизвестным" в этих странах.</w:t>
      </w:r>
    </w:p>
    <w:p w:rsidR="00CB2EC7" w:rsidRDefault="00CB2EC7">
      <w:pPr>
        <w:widowControl w:val="0"/>
        <w:spacing w:before="120"/>
        <w:ind w:firstLine="567"/>
        <w:jc w:val="both"/>
        <w:rPr>
          <w:color w:val="000000"/>
          <w:sz w:val="24"/>
          <w:szCs w:val="24"/>
        </w:rPr>
      </w:pPr>
      <w:r>
        <w:rPr>
          <w:color w:val="000000"/>
          <w:sz w:val="24"/>
          <w:szCs w:val="24"/>
        </w:rPr>
        <w:t>Является ли знак общеизвестным в той или иной стране, решают ее компетентные административные или юридические органы. Товарный знак мог не использоваться в данной стране в том смысле, что маркированные им товары в ней не продавались, хотя в то же время знак может быть здесь общеизвестен благодаря рекламе как в этой стране, так и в других.</w:t>
      </w:r>
    </w:p>
    <w:p w:rsidR="00CB2EC7" w:rsidRDefault="00CB2EC7">
      <w:pPr>
        <w:widowControl w:val="0"/>
        <w:spacing w:before="120"/>
        <w:jc w:val="center"/>
        <w:rPr>
          <w:b/>
          <w:bCs/>
          <w:color w:val="000000"/>
          <w:sz w:val="28"/>
          <w:szCs w:val="28"/>
        </w:rPr>
      </w:pPr>
      <w:r>
        <w:rPr>
          <w:b/>
          <w:bCs/>
          <w:color w:val="000000"/>
          <w:sz w:val="28"/>
          <w:szCs w:val="28"/>
        </w:rPr>
        <w:t>Государственная символика, официальные названия и эмблемы международных организаций</w:t>
      </w:r>
    </w:p>
    <w:p w:rsidR="00CB2EC7" w:rsidRDefault="00CB2EC7">
      <w:pPr>
        <w:widowControl w:val="0"/>
        <w:spacing w:before="120"/>
        <w:ind w:firstLine="567"/>
        <w:jc w:val="both"/>
        <w:rPr>
          <w:color w:val="000000"/>
          <w:sz w:val="24"/>
          <w:szCs w:val="24"/>
        </w:rPr>
      </w:pPr>
      <w:r>
        <w:rPr>
          <w:color w:val="000000"/>
          <w:sz w:val="24"/>
          <w:szCs w:val="24"/>
        </w:rPr>
        <w:t>Статья 6ter требует, чтобы страны-участницы в определенных обстоятельствах отказывали в регистрации или аннулировали ее и запрещали использование в качестве товарных знаков либо их элементов перечисленных в этой статье отличительных знаков самих стран-участниц и некоторых международных межправительственных организаций.</w:t>
      </w:r>
    </w:p>
    <w:p w:rsidR="00CB2EC7" w:rsidRDefault="00CB2EC7">
      <w:pPr>
        <w:widowControl w:val="0"/>
        <w:spacing w:before="120"/>
        <w:ind w:firstLine="567"/>
        <w:jc w:val="both"/>
        <w:rPr>
          <w:color w:val="000000"/>
          <w:sz w:val="24"/>
          <w:szCs w:val="24"/>
        </w:rPr>
      </w:pPr>
      <w:r>
        <w:rPr>
          <w:color w:val="000000"/>
          <w:sz w:val="24"/>
          <w:szCs w:val="24"/>
        </w:rPr>
        <w:t>Отличительными знаками государств, согласно этой статье, являются герб, флаг и другие символы, официальные знаки и печати, а также любая имитация подобных знаков.</w:t>
      </w:r>
    </w:p>
    <w:p w:rsidR="00CB2EC7" w:rsidRDefault="00CB2EC7">
      <w:pPr>
        <w:widowControl w:val="0"/>
        <w:spacing w:before="120"/>
        <w:jc w:val="center"/>
        <w:rPr>
          <w:b/>
          <w:bCs/>
          <w:color w:val="000000"/>
          <w:sz w:val="28"/>
          <w:szCs w:val="28"/>
        </w:rPr>
      </w:pPr>
      <w:r>
        <w:rPr>
          <w:b/>
          <w:bCs/>
          <w:color w:val="000000"/>
          <w:sz w:val="28"/>
          <w:szCs w:val="28"/>
        </w:rPr>
        <w:t>Передача товарных знаков</w:t>
      </w:r>
    </w:p>
    <w:p w:rsidR="00CB2EC7" w:rsidRDefault="00CB2EC7">
      <w:pPr>
        <w:widowControl w:val="0"/>
        <w:spacing w:before="120"/>
        <w:ind w:firstLine="567"/>
        <w:jc w:val="both"/>
        <w:rPr>
          <w:color w:val="000000"/>
          <w:sz w:val="24"/>
          <w:szCs w:val="24"/>
        </w:rPr>
      </w:pPr>
      <w:r>
        <w:rPr>
          <w:color w:val="000000"/>
          <w:sz w:val="24"/>
          <w:szCs w:val="24"/>
        </w:rPr>
        <w:t>Статья 6quater устанавливает, что для признания передачи товарного знака в стране-участнице действительной достаточно, чтобы часть промышленного или торгового предприятия, расположенного в этой стране, была передана правопреемнику вместе с исключительным правом на производство или продажу в ней товаров, маркированных переданным знаком. В некоторых странах-участницах для признания передачи товарного знака действительной можно потребовать, чтобы одновременно было передано предприятие, которому принадлежит данный знак, но подобное требование не должно распространяться на филиалы предприятия, расположенные в других странах.</w:t>
      </w:r>
    </w:p>
    <w:p w:rsidR="00CB2EC7" w:rsidRDefault="00CB2EC7">
      <w:pPr>
        <w:widowControl w:val="0"/>
        <w:spacing w:before="120"/>
        <w:jc w:val="center"/>
        <w:rPr>
          <w:b/>
          <w:bCs/>
          <w:color w:val="000000"/>
          <w:sz w:val="28"/>
          <w:szCs w:val="28"/>
        </w:rPr>
      </w:pPr>
      <w:r>
        <w:rPr>
          <w:b/>
          <w:bCs/>
          <w:color w:val="000000"/>
          <w:sz w:val="28"/>
          <w:szCs w:val="28"/>
        </w:rPr>
        <w:t>Охрана товарных знаков, зарегистрированных в одной стране союза, в других странах-участницах</w:t>
      </w:r>
    </w:p>
    <w:p w:rsidR="00CB2EC7" w:rsidRDefault="00CB2EC7">
      <w:pPr>
        <w:widowControl w:val="0"/>
        <w:spacing w:before="120"/>
        <w:ind w:firstLine="567"/>
        <w:jc w:val="both"/>
        <w:rPr>
          <w:color w:val="000000"/>
          <w:sz w:val="24"/>
          <w:szCs w:val="24"/>
        </w:rPr>
      </w:pPr>
      <w:r>
        <w:rPr>
          <w:color w:val="000000"/>
          <w:sz w:val="24"/>
          <w:szCs w:val="24"/>
        </w:rPr>
        <w:t>Одновременно с принципом независимости заявок и регистрации знаков, включенным в положения ст. 6, конвенция устанавливает, что каждый товарный знак, надлежащим образом зарегистрированный в стране происхождения, может быть заявлен в другой стране союза и охраняться таким, каков он есть, за некоторыми исключениями. Последние оговариваются в ст. 64quinques и сводятся к целующим случаям:</w:t>
      </w:r>
    </w:p>
    <w:p w:rsidR="00CB2EC7" w:rsidRDefault="00CB2EC7">
      <w:pPr>
        <w:widowControl w:val="0"/>
        <w:tabs>
          <w:tab w:val="left" w:pos="1647"/>
          <w:tab w:val="left" w:pos="8411"/>
        </w:tabs>
        <w:spacing w:before="120"/>
        <w:ind w:firstLine="567"/>
        <w:jc w:val="both"/>
        <w:rPr>
          <w:color w:val="000000"/>
          <w:sz w:val="24"/>
          <w:szCs w:val="24"/>
        </w:rPr>
      </w:pPr>
      <w:r>
        <w:rPr>
          <w:color w:val="000000"/>
          <w:sz w:val="24"/>
          <w:szCs w:val="24"/>
        </w:rPr>
        <w:t>- во-первых, когда товарный знак нарушает права третьей стороны, приобретенные в стране, где заявлена охрана. Это могут быть либо права на товарные знаки, уже охраняемые в рассматриваемой стране, либо другие права, например право на фирменное наименование или авторское право;</w:t>
      </w:r>
    </w:p>
    <w:p w:rsidR="00CB2EC7" w:rsidRDefault="00CB2EC7">
      <w:pPr>
        <w:widowControl w:val="0"/>
        <w:tabs>
          <w:tab w:val="left" w:pos="1647"/>
          <w:tab w:val="left" w:pos="8411"/>
        </w:tabs>
        <w:spacing w:before="120"/>
        <w:ind w:firstLine="567"/>
        <w:jc w:val="both"/>
        <w:rPr>
          <w:color w:val="000000"/>
          <w:sz w:val="24"/>
          <w:szCs w:val="24"/>
        </w:rPr>
      </w:pPr>
      <w:r>
        <w:rPr>
          <w:color w:val="000000"/>
          <w:sz w:val="24"/>
          <w:szCs w:val="24"/>
        </w:rPr>
        <w:t>- во-вторых, когда товарный знак утратил свой отличительный характер или является чисто описательным, или состоит из родового названия;</w:t>
      </w:r>
    </w:p>
    <w:p w:rsidR="00CB2EC7" w:rsidRDefault="00CB2EC7">
      <w:pPr>
        <w:widowControl w:val="0"/>
        <w:tabs>
          <w:tab w:val="left" w:pos="1647"/>
          <w:tab w:val="left" w:pos="8411"/>
        </w:tabs>
        <w:spacing w:before="120"/>
        <w:ind w:firstLine="567"/>
        <w:jc w:val="both"/>
        <w:rPr>
          <w:color w:val="000000"/>
          <w:sz w:val="24"/>
          <w:szCs w:val="24"/>
        </w:rPr>
      </w:pPr>
      <w:r>
        <w:rPr>
          <w:color w:val="000000"/>
          <w:sz w:val="24"/>
          <w:szCs w:val="24"/>
        </w:rPr>
        <w:t>- в-третьих, когда товарный знак противоречит морали или общественным установлениям, принятым в стране, где заявлена охрана. Это же относится к товарным знакам, специально предназначенным для обмана потребителя;</w:t>
      </w:r>
    </w:p>
    <w:p w:rsidR="00CB2EC7" w:rsidRDefault="00CB2EC7">
      <w:pPr>
        <w:widowControl w:val="0"/>
        <w:tabs>
          <w:tab w:val="left" w:pos="1647"/>
          <w:tab w:val="left" w:pos="8411"/>
        </w:tabs>
        <w:spacing w:before="120"/>
        <w:ind w:firstLine="567"/>
        <w:jc w:val="both"/>
        <w:rPr>
          <w:color w:val="000000"/>
          <w:sz w:val="24"/>
          <w:szCs w:val="24"/>
        </w:rPr>
      </w:pPr>
      <w:r>
        <w:rPr>
          <w:color w:val="000000"/>
          <w:sz w:val="24"/>
          <w:szCs w:val="24"/>
        </w:rPr>
        <w:t>- в-четвертых, когда регистрация товарного знака приведет к недобросовестной конкуренции;</w:t>
      </w:r>
    </w:p>
    <w:p w:rsidR="00CB2EC7" w:rsidRDefault="00CB2EC7">
      <w:pPr>
        <w:widowControl w:val="0"/>
        <w:tabs>
          <w:tab w:val="left" w:pos="1647"/>
          <w:tab w:val="left" w:pos="8411"/>
        </w:tabs>
        <w:spacing w:before="120"/>
        <w:ind w:firstLine="567"/>
        <w:jc w:val="both"/>
        <w:rPr>
          <w:color w:val="000000"/>
          <w:sz w:val="24"/>
          <w:szCs w:val="24"/>
        </w:rPr>
      </w:pPr>
      <w:r>
        <w:rPr>
          <w:color w:val="000000"/>
          <w:sz w:val="24"/>
          <w:szCs w:val="24"/>
        </w:rPr>
        <w:t>- в-пятых, когда товарный знак используется владельцем в форме, существенно отличной от той, в которой он зарегистрирован в стране происхождения. Несущественные отличия не могут служить основанием для отказа в охране или аннулирования.</w:t>
      </w:r>
    </w:p>
    <w:p w:rsidR="00CB2EC7" w:rsidRDefault="00CB2EC7">
      <w:pPr>
        <w:widowControl w:val="0"/>
        <w:spacing w:before="120"/>
        <w:jc w:val="center"/>
        <w:rPr>
          <w:b/>
          <w:bCs/>
          <w:color w:val="000000"/>
          <w:sz w:val="28"/>
          <w:szCs w:val="28"/>
        </w:rPr>
      </w:pPr>
      <w:r>
        <w:rPr>
          <w:b/>
          <w:bCs/>
          <w:color w:val="000000"/>
          <w:sz w:val="28"/>
          <w:szCs w:val="28"/>
        </w:rPr>
        <w:t>Знаки обслуживания</w:t>
      </w:r>
    </w:p>
    <w:p w:rsidR="00CB2EC7" w:rsidRDefault="00CB2EC7">
      <w:pPr>
        <w:widowControl w:val="0"/>
        <w:spacing w:before="120"/>
        <w:ind w:firstLine="567"/>
        <w:jc w:val="both"/>
        <w:rPr>
          <w:color w:val="000000"/>
          <w:sz w:val="24"/>
          <w:szCs w:val="24"/>
        </w:rPr>
      </w:pPr>
      <w:r>
        <w:rPr>
          <w:color w:val="000000"/>
          <w:sz w:val="24"/>
          <w:szCs w:val="24"/>
        </w:rPr>
        <w:t>Cтраны-участницы гарантируют охрану знаков обслуживания, но не обязаны предусматривать их регистрацию. Это положение не означает требования разрабатывать специальное законодательство по знакам обслуживания. Страна-участница может подчиняться положению о гарантиях охраны не только путем введения специального законодательства, направленного на защиту знаков обслуживания, но и предоставлением подобной охраны другим способом, например с помощью законов о недобросовестной конкуренции.</w:t>
      </w:r>
    </w:p>
    <w:p w:rsidR="00CB2EC7" w:rsidRDefault="00CB2EC7">
      <w:pPr>
        <w:widowControl w:val="0"/>
        <w:spacing w:before="120"/>
        <w:jc w:val="center"/>
        <w:rPr>
          <w:b/>
          <w:bCs/>
          <w:color w:val="000000"/>
          <w:sz w:val="28"/>
          <w:szCs w:val="28"/>
        </w:rPr>
      </w:pPr>
      <w:r>
        <w:rPr>
          <w:b/>
          <w:bCs/>
          <w:color w:val="000000"/>
          <w:sz w:val="28"/>
          <w:szCs w:val="28"/>
        </w:rPr>
        <w:t>Характер маркированного товара</w:t>
      </w:r>
    </w:p>
    <w:p w:rsidR="00CB2EC7" w:rsidRDefault="00CB2EC7">
      <w:pPr>
        <w:widowControl w:val="0"/>
        <w:spacing w:before="120"/>
        <w:ind w:firstLine="567"/>
        <w:jc w:val="both"/>
        <w:rPr>
          <w:color w:val="000000"/>
          <w:sz w:val="24"/>
          <w:szCs w:val="24"/>
        </w:rPr>
      </w:pPr>
      <w:r>
        <w:rPr>
          <w:color w:val="000000"/>
          <w:sz w:val="24"/>
          <w:szCs w:val="24"/>
        </w:rPr>
        <w:t>Статья 7 конвенции утверждает, что характер товара, для которого предназначен товарный знак, не может служить причиной отказа в регистрации знака. Назначение этого правила, а также аналогичного ему, изложенного в ст. 4quater и относящегося к патентам на изобретения, в том, чтобы охрана промышленной собственности предоставлялась независимо от того, могут ли товары, на которые распространяется эта охрана, продаваться в стране, где она испрашивается.</w:t>
      </w:r>
    </w:p>
    <w:p w:rsidR="00CB2EC7" w:rsidRDefault="00CB2EC7">
      <w:pPr>
        <w:widowControl w:val="0"/>
        <w:spacing w:before="120"/>
        <w:jc w:val="center"/>
        <w:rPr>
          <w:b/>
          <w:bCs/>
          <w:color w:val="000000"/>
          <w:sz w:val="28"/>
          <w:szCs w:val="28"/>
        </w:rPr>
      </w:pPr>
      <w:r>
        <w:rPr>
          <w:b/>
          <w:bCs/>
          <w:color w:val="000000"/>
          <w:sz w:val="28"/>
          <w:szCs w:val="28"/>
        </w:rPr>
        <w:t>Коллективные знаки</w:t>
      </w:r>
    </w:p>
    <w:p w:rsidR="00CB2EC7" w:rsidRDefault="00CB2EC7">
      <w:pPr>
        <w:widowControl w:val="0"/>
        <w:spacing w:before="120"/>
        <w:ind w:firstLine="567"/>
        <w:jc w:val="both"/>
        <w:rPr>
          <w:color w:val="000000"/>
          <w:sz w:val="24"/>
          <w:szCs w:val="24"/>
        </w:rPr>
      </w:pPr>
      <w:r>
        <w:rPr>
          <w:color w:val="000000"/>
          <w:sz w:val="24"/>
          <w:szCs w:val="24"/>
        </w:rPr>
        <w:t>Статья 7bis конвенции посвящена коллективным знакам. Она обязывает страны-участницы осуществлять регистрацию и охрану коллективных знаков, принадлежащих ассоциациям, согласно принятым в стране правилам. Обычно это ассоциации производителей, оптовых, розничных и иных торговцев товарами, производящимися в той или иной стране, регионе или районе или имеющими другие общие характеристики. Коллективные знаки государств других общественных организаций не подпадают под это положение.</w:t>
      </w:r>
    </w:p>
    <w:p w:rsidR="00CB2EC7" w:rsidRDefault="00CB2EC7">
      <w:pPr>
        <w:widowControl w:val="0"/>
        <w:spacing w:before="120"/>
        <w:jc w:val="center"/>
        <w:rPr>
          <w:b/>
          <w:bCs/>
          <w:color w:val="000000"/>
          <w:sz w:val="28"/>
          <w:szCs w:val="28"/>
        </w:rPr>
      </w:pPr>
      <w:r>
        <w:rPr>
          <w:b/>
          <w:bCs/>
          <w:color w:val="000000"/>
          <w:sz w:val="28"/>
          <w:szCs w:val="28"/>
        </w:rPr>
        <w:t>Товарные знаки, используемые на международных выставках</w:t>
      </w:r>
    </w:p>
    <w:p w:rsidR="00CB2EC7" w:rsidRDefault="00CB2EC7">
      <w:pPr>
        <w:widowControl w:val="0"/>
        <w:spacing w:before="120"/>
        <w:ind w:firstLine="567"/>
        <w:jc w:val="both"/>
        <w:rPr>
          <w:color w:val="000000"/>
          <w:sz w:val="24"/>
          <w:szCs w:val="24"/>
        </w:rPr>
      </w:pPr>
      <w:r>
        <w:rPr>
          <w:color w:val="000000"/>
          <w:sz w:val="24"/>
          <w:szCs w:val="24"/>
        </w:rPr>
        <w:t>В статье 11 содержится правило, согласно которому страны-участницы обязаны гарантировать в соответствии со своим национальным законодательством временную охрану товарных знаков, которыми маркированы товары, выставляемые на официальных и официально признанных международных выставках, проводимых на территории любой из стран-участниц.</w:t>
      </w:r>
    </w:p>
    <w:p w:rsidR="00CB2EC7" w:rsidRDefault="00CB2EC7">
      <w:pPr>
        <w:widowControl w:val="0"/>
        <w:spacing w:before="120"/>
        <w:ind w:firstLine="567"/>
        <w:jc w:val="both"/>
        <w:rPr>
          <w:color w:val="000000"/>
          <w:sz w:val="24"/>
          <w:szCs w:val="24"/>
        </w:rPr>
      </w:pPr>
      <w:bookmarkStart w:id="0" w:name="_GoBack"/>
      <w:bookmarkEnd w:id="0"/>
    </w:p>
    <w:sectPr w:rsidR="00CB2E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816"/>
    <w:rsid w:val="0030356A"/>
    <w:rsid w:val="00496816"/>
    <w:rsid w:val="00CB2EC7"/>
    <w:rsid w:val="00ED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14E73D-C239-424B-BBF0-1A710109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10800</Words>
  <Characters>6157</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МЕЖДУНАРОДНОЕ СОТРУДНИЧЕСТВО В ОБЛАСТИ</vt:lpstr>
    </vt:vector>
  </TitlesOfParts>
  <Company>PERSONAL COMPUTERS</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СОТРУДНИЧЕСТВО В ОБЛАСТИ</dc:title>
  <dc:subject/>
  <dc:creator>USER</dc:creator>
  <cp:keywords/>
  <dc:description/>
  <cp:lastModifiedBy>admin</cp:lastModifiedBy>
  <cp:revision>2</cp:revision>
  <dcterms:created xsi:type="dcterms:W3CDTF">2014-01-27T05:15:00Z</dcterms:created>
  <dcterms:modified xsi:type="dcterms:W3CDTF">2014-01-27T05:15:00Z</dcterms:modified>
</cp:coreProperties>
</file>