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25" w:rsidRPr="00A61696" w:rsidRDefault="00721625" w:rsidP="00705AC1">
      <w:pPr>
        <w:spacing w:line="360" w:lineRule="auto"/>
        <w:ind w:firstLine="709"/>
        <w:jc w:val="both"/>
        <w:rPr>
          <w:b/>
          <w:sz w:val="28"/>
          <w:szCs w:val="28"/>
        </w:rPr>
      </w:pPr>
    </w:p>
    <w:p w:rsidR="00E70BDA" w:rsidRPr="00A61696" w:rsidRDefault="00E70BDA" w:rsidP="00705AC1">
      <w:pPr>
        <w:spacing w:line="360" w:lineRule="auto"/>
        <w:ind w:firstLine="709"/>
        <w:jc w:val="both"/>
        <w:rPr>
          <w:b/>
          <w:sz w:val="28"/>
          <w:szCs w:val="28"/>
        </w:rPr>
      </w:pPr>
    </w:p>
    <w:p w:rsidR="003929C3" w:rsidRPr="00A61696" w:rsidRDefault="003929C3" w:rsidP="00705AC1">
      <w:pPr>
        <w:spacing w:line="360" w:lineRule="auto"/>
        <w:ind w:firstLine="709"/>
        <w:jc w:val="both"/>
        <w:rPr>
          <w:b/>
          <w:sz w:val="28"/>
          <w:szCs w:val="28"/>
        </w:rPr>
      </w:pPr>
    </w:p>
    <w:p w:rsidR="003929C3" w:rsidRPr="00A61696" w:rsidRDefault="003929C3" w:rsidP="00705AC1">
      <w:pPr>
        <w:spacing w:line="360" w:lineRule="auto"/>
        <w:ind w:firstLine="709"/>
        <w:jc w:val="both"/>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47331F" w:rsidRDefault="0047331F" w:rsidP="0047331F">
      <w:pPr>
        <w:spacing w:line="360" w:lineRule="auto"/>
        <w:ind w:firstLine="709"/>
        <w:jc w:val="center"/>
        <w:rPr>
          <w:b/>
          <w:sz w:val="28"/>
          <w:szCs w:val="28"/>
        </w:rPr>
      </w:pPr>
    </w:p>
    <w:p w:rsidR="000E1F06" w:rsidRPr="00A61696" w:rsidRDefault="00E55FE3" w:rsidP="0047331F">
      <w:pPr>
        <w:spacing w:line="360" w:lineRule="auto"/>
        <w:ind w:firstLine="709"/>
        <w:jc w:val="center"/>
        <w:rPr>
          <w:b/>
          <w:sz w:val="28"/>
          <w:szCs w:val="28"/>
        </w:rPr>
      </w:pPr>
      <w:r w:rsidRPr="00A61696">
        <w:rPr>
          <w:b/>
          <w:sz w:val="28"/>
          <w:szCs w:val="28"/>
        </w:rPr>
        <w:t xml:space="preserve">Международные отношения </w:t>
      </w:r>
      <w:r w:rsidR="00BA59AD" w:rsidRPr="00A61696">
        <w:rPr>
          <w:b/>
          <w:sz w:val="28"/>
          <w:szCs w:val="28"/>
        </w:rPr>
        <w:t>Р</w:t>
      </w:r>
      <w:r w:rsidRPr="00A61696">
        <w:rPr>
          <w:b/>
          <w:sz w:val="28"/>
          <w:szCs w:val="28"/>
        </w:rPr>
        <w:t>еспублики</w:t>
      </w:r>
      <w:r w:rsidR="003929C3" w:rsidRPr="00A61696">
        <w:rPr>
          <w:b/>
          <w:sz w:val="28"/>
          <w:szCs w:val="28"/>
        </w:rPr>
        <w:t xml:space="preserve"> </w:t>
      </w:r>
      <w:r w:rsidRPr="00A61696">
        <w:rPr>
          <w:b/>
          <w:sz w:val="28"/>
          <w:szCs w:val="28"/>
        </w:rPr>
        <w:t>Татарстан в 90-е годы</w:t>
      </w:r>
    </w:p>
    <w:p w:rsidR="00E150AF" w:rsidRPr="00A61696" w:rsidRDefault="000E1F06" w:rsidP="00705AC1">
      <w:pPr>
        <w:spacing w:line="360" w:lineRule="auto"/>
        <w:ind w:firstLine="709"/>
        <w:jc w:val="both"/>
        <w:rPr>
          <w:b/>
          <w:sz w:val="28"/>
          <w:szCs w:val="28"/>
        </w:rPr>
      </w:pPr>
      <w:r w:rsidRPr="00A61696">
        <w:rPr>
          <w:b/>
          <w:sz w:val="28"/>
          <w:szCs w:val="28"/>
        </w:rPr>
        <w:br w:type="page"/>
      </w:r>
      <w:r w:rsidR="00A44C9A" w:rsidRPr="00A61696">
        <w:rPr>
          <w:b/>
          <w:sz w:val="28"/>
          <w:szCs w:val="28"/>
        </w:rPr>
        <w:t>Международные отношения Татарстана</w:t>
      </w:r>
    </w:p>
    <w:p w:rsidR="00A44C9A" w:rsidRPr="00A61696" w:rsidRDefault="00A44C9A" w:rsidP="00705AC1">
      <w:pPr>
        <w:spacing w:line="360" w:lineRule="auto"/>
        <w:ind w:firstLine="709"/>
        <w:jc w:val="both"/>
        <w:rPr>
          <w:sz w:val="28"/>
          <w:szCs w:val="28"/>
        </w:rPr>
      </w:pPr>
    </w:p>
    <w:p w:rsidR="000E1F06" w:rsidRPr="00A61696" w:rsidRDefault="00A44C9A" w:rsidP="00705AC1">
      <w:pPr>
        <w:spacing w:line="360" w:lineRule="auto"/>
        <w:ind w:firstLine="709"/>
        <w:jc w:val="both"/>
        <w:rPr>
          <w:sz w:val="28"/>
          <w:szCs w:val="28"/>
        </w:rPr>
      </w:pPr>
      <w:r w:rsidRPr="00A61696">
        <w:rPr>
          <w:sz w:val="28"/>
          <w:szCs w:val="28"/>
        </w:rPr>
        <w:t>Сегодня уже не приходится никого убеждать в необходимости и важности такого понятия, как «международные и внешнеэкономические связи регионов». Оно стало не только обыденным явлением, но и выступает реальным компонентом внешней политики Российской Федерации, способствует интеграции Содружества Независимых Государств, включению отечественной экономики в мировое хозяйство, укреплению демократических основ российского федерализма. Регионы играют положительную роль в развитии диалога между странами и народами, укреплении мира и международного сотрудничества, обеспечении безопасности страны. Примечательно, что сегодня мы говорим об использовании положительного опыта в этой области, о качественно ином уровне этих связей, об их большей эффективности. В этом контексте опыт Татарстана представляет, на наш взгляд, определенный интерес. Потому что Татарстан уже в начале 90-х годов заявил о необходимости развития международных связей на региональном уровне, именно Татарстан одним из первых российских регионов включился в процесс развития международных контактов и установления взаимовыгодных двусторонних связей с зарубежными партнерами, хорошо понимая, что в открытой экономике серьезные перспективы развития связаны с самостоятельным участием регионов в международных материальных, информационных и культурных обменах. В то время нам не всегда удавалось находить понимание на федеральном уровне, в том числе и в МИДе. Сегодня Татарстан в целом представляет собой успешную модель регионального развития, демонстрирующую социально-политическую стабильность и устойчивый экономический рост на фоне определенной самостоятельности во внешней деятельности. Практически нет ни одной отрасли республики, которая прямо или косвенно не имела бы контактов с внешним миром. Предприятия, организации, государственные органы Республики Татарстан совместно с иностранными партнерами участвуют в экономических, научных, культурных, образовательных и других программах и проектах. Внешняя деятельность органично сочетается с общей стратегией социально-экономического развития республики, создает необходимые предпосылки для эффективной интеграции Татарстана в мировую экономику.</w:t>
      </w:r>
    </w:p>
    <w:p w:rsidR="000E1F06" w:rsidRPr="00A61696" w:rsidRDefault="00A44C9A" w:rsidP="00705AC1">
      <w:pPr>
        <w:spacing w:line="360" w:lineRule="auto"/>
        <w:ind w:firstLine="709"/>
        <w:jc w:val="both"/>
        <w:rPr>
          <w:sz w:val="28"/>
          <w:szCs w:val="28"/>
        </w:rPr>
      </w:pPr>
      <w:r w:rsidRPr="00A61696">
        <w:rPr>
          <w:sz w:val="28"/>
          <w:szCs w:val="28"/>
        </w:rPr>
        <w:t>Международные связи республики осуществляются в соответствии с российскими и международными нормами права, основными принципами внешней политики Российской Федерации, в тесном взаимодействии с Министерством иностранных дел России.</w:t>
      </w:r>
    </w:p>
    <w:p w:rsidR="000E1F06" w:rsidRPr="00A61696" w:rsidRDefault="00A44C9A" w:rsidP="00705AC1">
      <w:pPr>
        <w:spacing w:line="360" w:lineRule="auto"/>
        <w:ind w:firstLine="709"/>
        <w:jc w:val="both"/>
        <w:rPr>
          <w:sz w:val="28"/>
          <w:szCs w:val="28"/>
        </w:rPr>
      </w:pPr>
      <w:r w:rsidRPr="00A61696">
        <w:rPr>
          <w:sz w:val="28"/>
          <w:szCs w:val="28"/>
        </w:rPr>
        <w:t xml:space="preserve">Международную деятельность Татарстана можно условно разделить на четыре этапа. </w:t>
      </w:r>
    </w:p>
    <w:p w:rsidR="000E1F06" w:rsidRPr="00A61696" w:rsidRDefault="00A44C9A" w:rsidP="00705AC1">
      <w:pPr>
        <w:spacing w:line="360" w:lineRule="auto"/>
        <w:ind w:firstLine="709"/>
        <w:jc w:val="both"/>
        <w:rPr>
          <w:sz w:val="28"/>
          <w:szCs w:val="28"/>
        </w:rPr>
      </w:pPr>
      <w:r w:rsidRPr="00A61696">
        <w:rPr>
          <w:sz w:val="28"/>
          <w:szCs w:val="28"/>
        </w:rPr>
        <w:t xml:space="preserve">I этап (1990 – 1993 годы) – первые самостоятельные внешние шаги Татарстана и становление системы его международной деятельности. II этап (1994 – 1998 годы) ознаменован Договором о разграничении и взаимном делегировании полномочий с федеральным центром и соглашением в области внешнеэкономических связей. Договор повышает уровень наших международных связей, наглядно демонстрирует, что республика имеет не только значительные права, но и несет большую ответственность за принятые на себя обязательства. III этап (1998–2000 годы) характеризуется последствиями общероссийского кризиса в экономике (1998 год), принятием ФЗ «О координации международных и внешнеэкономических связей субъектов Российской Федерации», усилением тенденций к централизации внешних связей субъектов РФ. IV этап (с 2001 года по наше время) – несмотря на укрепление вертикали власти, центр выступает за большую активизацию международной деятельности субъектов. </w:t>
      </w:r>
    </w:p>
    <w:p w:rsidR="000E1F06" w:rsidRPr="00A61696" w:rsidRDefault="00A44C9A" w:rsidP="00705AC1">
      <w:pPr>
        <w:spacing w:line="360" w:lineRule="auto"/>
        <w:ind w:firstLine="709"/>
        <w:jc w:val="both"/>
        <w:rPr>
          <w:sz w:val="28"/>
          <w:szCs w:val="28"/>
        </w:rPr>
      </w:pPr>
      <w:r w:rsidRPr="00A61696">
        <w:rPr>
          <w:sz w:val="28"/>
          <w:szCs w:val="28"/>
        </w:rPr>
        <w:t xml:space="preserve">В целом можно сказать, что за пройденный период Татарстан выработал основные принципы и подходы к развитию своей международной деятельности, сформировал необходимую организационно-правовую и кадровую основу, инфраструктуру внешних связей, наладил механизм координации с федеральными органами власти. </w:t>
      </w:r>
    </w:p>
    <w:p w:rsidR="000E1F06" w:rsidRPr="00A61696" w:rsidRDefault="00A44C9A" w:rsidP="00705AC1">
      <w:pPr>
        <w:spacing w:line="360" w:lineRule="auto"/>
        <w:ind w:firstLine="709"/>
        <w:jc w:val="both"/>
        <w:rPr>
          <w:sz w:val="28"/>
          <w:szCs w:val="28"/>
        </w:rPr>
      </w:pPr>
      <w:r w:rsidRPr="00A61696">
        <w:rPr>
          <w:sz w:val="28"/>
          <w:szCs w:val="28"/>
        </w:rPr>
        <w:t>Существенную роль в международной деятельности республики играет восточное направление. Мы экспортируем в эти страны машиностроительную, нефтехимическую, военную и другую продукцию, с высокой степенью переработки. Существуют хорошие перспективы для расширения присутствия Татарстана на этих рынках. Особое место занимает Турция, которая традиционно выступает нашим стратегическим партнером. У нас сложились неплохие отношения с Ираном, Индией, Египтом, ОАЭ, Малайзией, Вьетнамом, Японией, Китаем. Особый интерес представляет опыт инвестиционного сотрудничества с японскими и южнокорейскими компаниями по модернизации нефтехимического комплекса республики.</w:t>
      </w:r>
    </w:p>
    <w:p w:rsidR="000E1F06" w:rsidRPr="00A61696" w:rsidRDefault="00A44C9A" w:rsidP="00705AC1">
      <w:pPr>
        <w:spacing w:line="360" w:lineRule="auto"/>
        <w:ind w:firstLine="709"/>
        <w:jc w:val="both"/>
        <w:rPr>
          <w:sz w:val="28"/>
          <w:szCs w:val="28"/>
        </w:rPr>
      </w:pPr>
      <w:r w:rsidRPr="00A61696">
        <w:rPr>
          <w:sz w:val="28"/>
          <w:szCs w:val="28"/>
        </w:rPr>
        <w:t>Со многими мусульманскими странами Востока республику связывает историческая духовная и культурная близость. Неуклонно растет интерес к сотрудничеству с Татарстаном. Сегодня, в условиях масштабного проявления терроризма и искусственной «исламофобии», особенно важно демонстрировать мировому, и в том числе мусульманскому сообществу опыт формирования в многонациональной России цивилизации, основанной на диалоге и разнообразии, использовать возможности сотрудничества Российской Федерации с Организацией Исламская Конференция для продвижения идей культуры мира и ненасилия. Полагаем, что в итоговой рекомендации можно было бы поддержать инициативу Татарстана о более активном участии республики в этом процессе, направленном на утверждение ценностей диалога и взаимопонимания между народами различных религий и культур. Конкретным шагом в этом направлении должна стать II Международная конференция «Исламская культура в Волго-Уральском регионе» с участием Генерального секретаря ОИК Э. Ихсаноглу, которая пройдет в Татарстане в третьей декаде июня 2005 года.</w:t>
      </w:r>
    </w:p>
    <w:p w:rsidR="000E1F06" w:rsidRPr="00A61696" w:rsidRDefault="00A44C9A" w:rsidP="00705AC1">
      <w:pPr>
        <w:spacing w:line="360" w:lineRule="auto"/>
        <w:ind w:firstLine="709"/>
        <w:jc w:val="both"/>
        <w:rPr>
          <w:sz w:val="28"/>
          <w:szCs w:val="28"/>
        </w:rPr>
      </w:pPr>
      <w:r w:rsidRPr="00A61696">
        <w:rPr>
          <w:sz w:val="28"/>
          <w:szCs w:val="28"/>
        </w:rPr>
        <w:t>Татарстан развивает связи и с рядом государств Африки. Мы считаем, что это перспективные направления и постепенно создаем основу для закрепления наших компаний в этих странах (в первую очередь ОАО «КамАЗ» и ОАО «Татнефть»). Одним из эффективных механизмов развития международных и внешнеэкономических связей является деятельность представительского корпуса Татарстана в иностранных государствах. На сегодняшний день республика имеет 16 представительств за рубежом, которые способствуют привлечению иностранного капитала в республику, продвижению татарстанской продукции на внешние рынки, распространяют информацию о Татарстане, его политической, социальной, экономической, культурной и духовной жизни, регулярно принимают участие в международных конференциях, семинарах и выставках. Представительский корпус Татарстана состоит из высокообразованных, квалифицированных специалистов в области экономики, права, международных отношений, обладающих большим опытом работы в государственных органах, имеющих научные степени, пользующихся заслуженным уважением в регионах пребывания.</w:t>
      </w:r>
    </w:p>
    <w:p w:rsidR="000E1F06" w:rsidRPr="00A61696" w:rsidRDefault="00A44C9A" w:rsidP="00705AC1">
      <w:pPr>
        <w:spacing w:line="360" w:lineRule="auto"/>
        <w:ind w:firstLine="709"/>
        <w:jc w:val="both"/>
        <w:rPr>
          <w:sz w:val="28"/>
          <w:szCs w:val="28"/>
        </w:rPr>
      </w:pPr>
      <w:r w:rsidRPr="00A61696">
        <w:rPr>
          <w:sz w:val="28"/>
          <w:szCs w:val="28"/>
        </w:rPr>
        <w:t>Особой спецификой отличается структура республиканского управления и координации международной и внешнеэкономической деятельности. В соответствии с республиканской Конституцией президент Татарстана определяет направления внешней деятельности, представляет Республику Татарстан при осуществлении международных и внешнеэкономических связей. Инструментом реализации конституционных функций президента выступает Департамент внешних связей, на который возложены функции координации связей государственных органов РТ с иностранными государствами и международными организациями, а также функции обеспечения государственного протокола и оперативного руководства деятельностью представительств Татарстана. Департамент осуществляет взаимодействие с МИД РФ и его представительством в Казани.</w:t>
      </w:r>
    </w:p>
    <w:p w:rsidR="000E1F06" w:rsidRPr="00A61696" w:rsidRDefault="00A44C9A" w:rsidP="00705AC1">
      <w:pPr>
        <w:spacing w:line="360" w:lineRule="auto"/>
        <w:ind w:firstLine="709"/>
        <w:jc w:val="both"/>
        <w:rPr>
          <w:sz w:val="28"/>
          <w:szCs w:val="28"/>
        </w:rPr>
      </w:pPr>
      <w:r w:rsidRPr="00A61696">
        <w:rPr>
          <w:sz w:val="28"/>
          <w:szCs w:val="28"/>
        </w:rPr>
        <w:t xml:space="preserve">Осуществление внешнеэкономической деятельности относится к конституционным полномочиям Кабинета министров Республики Татарстан, которые реализуются Министерством торговли и внешнеэкономического сотрудничества РТ. Парламент Татарстана участвует в определении направлений внешней деятельности республики. На уровне городов и районов действуют комитеты внешнеэкономических связей. В министерствах и ведомствах имеются свои международные отделы. На протяжении многих лет в Татарстане успешно работает Торгово-промышленная палата. </w:t>
      </w:r>
    </w:p>
    <w:p w:rsidR="000E1F06" w:rsidRPr="00A61696" w:rsidRDefault="00A44C9A" w:rsidP="00705AC1">
      <w:pPr>
        <w:spacing w:line="360" w:lineRule="auto"/>
        <w:ind w:firstLine="709"/>
        <w:jc w:val="both"/>
        <w:rPr>
          <w:sz w:val="28"/>
          <w:szCs w:val="28"/>
        </w:rPr>
      </w:pPr>
      <w:r w:rsidRPr="00A61696">
        <w:rPr>
          <w:sz w:val="28"/>
          <w:szCs w:val="28"/>
        </w:rPr>
        <w:t>Свои контакты с зарубежными партнерами имеют неправительственные организации, образовательные и научные учреждения республики. В этой части регулирующая функция республики заключается в стимулировании и координации различных форм международной активности этих организаций. Например, при ДВС успешно действует Координационный совет вузов и международных культурных центров Татарстана, который активно способствует созданию благоприятных условий для развития «народной дипломатии», роль и влияние которой в современном ми</w:t>
      </w:r>
      <w:r w:rsidR="0047331F">
        <w:rPr>
          <w:sz w:val="28"/>
          <w:szCs w:val="28"/>
        </w:rPr>
        <w:t>ре будут несомненно возрастать.</w:t>
      </w:r>
    </w:p>
    <w:p w:rsidR="000E1F06" w:rsidRPr="00A61696" w:rsidRDefault="00A44C9A" w:rsidP="00705AC1">
      <w:pPr>
        <w:spacing w:line="360" w:lineRule="auto"/>
        <w:ind w:firstLine="709"/>
        <w:jc w:val="both"/>
        <w:rPr>
          <w:sz w:val="28"/>
          <w:szCs w:val="28"/>
        </w:rPr>
      </w:pPr>
      <w:r w:rsidRPr="00A61696">
        <w:rPr>
          <w:sz w:val="28"/>
          <w:szCs w:val="28"/>
        </w:rPr>
        <w:t>Подводя итог, можно сказать, что за пятнадцатилетний период республикой накоплен богатый и разнообразный опыт международной и внешнеэкономической деятельности, выявлены трудности и проблемы, с которыми приходится сталкиваться региону во внешнем мире, намечены основные п</w:t>
      </w:r>
      <w:r w:rsidR="0047331F">
        <w:rPr>
          <w:sz w:val="28"/>
          <w:szCs w:val="28"/>
        </w:rPr>
        <w:t>ринципы и направления развития.</w:t>
      </w:r>
    </w:p>
    <w:p w:rsidR="000E1F06" w:rsidRPr="00A61696" w:rsidRDefault="00A44C9A" w:rsidP="00705AC1">
      <w:pPr>
        <w:spacing w:line="360" w:lineRule="auto"/>
        <w:ind w:firstLine="709"/>
        <w:jc w:val="both"/>
        <w:rPr>
          <w:sz w:val="28"/>
          <w:szCs w:val="28"/>
        </w:rPr>
      </w:pPr>
      <w:r w:rsidRPr="00A61696">
        <w:rPr>
          <w:sz w:val="28"/>
          <w:szCs w:val="28"/>
        </w:rPr>
        <w:t xml:space="preserve">Безусловно, существует необходимость повышения эффективности управления в области внешних связей на всех уровнях, более четкой координации органов государственной власти и управления, увеличения отдачи от работы зарубежного представительского корпуса республики и подписанных соглашений с иностранными партнерами. Необходимо уделять больше внимания подготовке управленческого персонала на уровне министерств и местных органов власти. </w:t>
      </w:r>
    </w:p>
    <w:p w:rsidR="00A44C9A" w:rsidRPr="00A61696" w:rsidRDefault="00A44C9A" w:rsidP="00705AC1">
      <w:pPr>
        <w:spacing w:line="360" w:lineRule="auto"/>
        <w:ind w:firstLine="709"/>
        <w:jc w:val="both"/>
        <w:rPr>
          <w:sz w:val="28"/>
          <w:szCs w:val="28"/>
        </w:rPr>
      </w:pPr>
      <w:r w:rsidRPr="00A61696">
        <w:rPr>
          <w:sz w:val="28"/>
          <w:szCs w:val="28"/>
        </w:rPr>
        <w:t>И все же за прошедшие годы удалось сделать немало. Республику стали узнавать и принимать в мире, проявлять интерес к ее богатой истории и культуре, развивать с ней взаимовыгодные отношения. Мы считаем, что это хороший задел для дальнейшего расширения связей Татарстана с внешним миром, укрепления авторитета России как современной демократической федерации.</w:t>
      </w:r>
      <w:r w:rsidR="003929C3" w:rsidRPr="00A61696">
        <w:rPr>
          <w:sz w:val="28"/>
          <w:szCs w:val="28"/>
        </w:rPr>
        <w:t xml:space="preserve"> </w:t>
      </w:r>
    </w:p>
    <w:p w:rsidR="003929C3" w:rsidRPr="00A61696" w:rsidRDefault="00A44C9A" w:rsidP="00705AC1">
      <w:pPr>
        <w:shd w:val="clear" w:color="auto" w:fill="FFFFFF"/>
        <w:spacing w:line="360" w:lineRule="auto"/>
        <w:ind w:firstLine="709"/>
        <w:jc w:val="both"/>
        <w:rPr>
          <w:sz w:val="28"/>
          <w:szCs w:val="28"/>
        </w:rPr>
      </w:pPr>
      <w:r w:rsidRPr="00A61696">
        <w:rPr>
          <w:sz w:val="28"/>
          <w:szCs w:val="28"/>
        </w:rPr>
        <w:t>Примечательным представляется опыт Республики ТатарстанДоговор с Российской Федерацией и соглашения, подписанные в 1994 году, обеспечили Татарстану в целом благоприятный климат для установления и развития внешних связей. К концу 90-х годов Татарстан подошел к своему качественно новому этапу развития, когда на базе значительного массива политико-правовых соглашений и договоров, а также достигнутого опыта преобразований появилась реальная возможность сделать серьезный шаг вперед. Речь идет об особом подходе, характере продолжения и углубления экономических реформ, которые нашли свое концентрированное выражение в принятой Госсоветом республики Государственной программе экономического и социального прогресса Татарстана.</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Реализация заложенных в Программе целей проходит под знаком объединяющей идеи в виде определенной модели развития. Ставится цель достижения конкурентоспособности республики в российском и общемировом масштабах, а в качестве модели предлагается модель социально-ориентированной экономики, развитие которой во многом зависит от продуманной политики поиска и рационального привлечения внешних и внутренних инвесторов.</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Для Татарстана 1996 год стал периодом дальнейшего продвижения по пути стабилизации народнохозяйственного комплекса, реализации предпосылок по возобновлению расширенного воспроизводства и обеспечению устойчивого экономического роста. По итогам 1996 года в республике имел место рост индекса объема промышленной продукции на 3.2%. Прирост достигнут за счет стабильной работы ряда отраслей промышленности и прежде всего химической, нефтехимической и топливной.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Уже в 1995 году экспорт товаров из Татарстана в страны СНГ составил 213 млн. долларов. Ведущее место в партнерских связях занимали Украина, Беларусь, Узбекистан и Казахстан. Внешнеторговый оборот Татарстана в 1995 году составил 2,2 млн. долларов, а в 1996 году он увеличился еще на 25% по отношению к 1995 году. Визит Президента М. Ш. Шаймиева осенью 1997 года в Туркмению позволяет также приступить к широкой взаимовыгодной программе по поставкам, ремонту и сервисному обслуживанию легковых автомобилей, поставкам танкеров, вертолетов, созданию предприятия для ремонта автобронетанковой техники, предусматриваются совместные расходы на утилизацию боеприпасов и т. д.</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Татарстан постепенно приобретает опыт сотрудничества с зарубежными странами: Болгарией, Венгрией, Словакией, Чехией, Малайзией, Турцией, Францией, с регионами и административными единицами США, Германии, Италии, Австрии, Швейцарии. Расширяются внешнеэкономические контакты с Китаем, Индией, Ираком, Саудовской Аравией.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 xml:space="preserve">Примером успешного сотрудничества республики с Францией может служить визит бывшего Премьер-министра Франции Алена Жюпе в Казань, где был подписан ряд важных не только для Татарстана, но и для России в целом договоров о сотрудничестве с Францией. Во второй половине 1996 года Премьер-министр Республики Татарстан Ф. </w:t>
      </w:r>
      <w:r w:rsidRPr="00A61696">
        <w:rPr>
          <w:sz w:val="28"/>
          <w:szCs w:val="28"/>
          <w:lang w:val="en-US"/>
        </w:rPr>
        <w:t>X</w:t>
      </w:r>
      <w:r w:rsidRPr="00A61696">
        <w:rPr>
          <w:sz w:val="28"/>
          <w:szCs w:val="28"/>
        </w:rPr>
        <w:t>. Мухаметшин, находясь в составе объединенной делегации России во Франции, был принят Премьер-министром Французской Республики для беседы, в ходе которой был продолжен татарстанско-французский диалог. В ходе беседы А. Жюпе сам напомнил о намерении Татарстана получить французский кредит на реконструкцию третьей транспортной дамбы в Казани и подтвердил, что все проекты, связанные с Татарстаном, получают полную поддержку правительства Франции. В татарстанско-французском сотрудничестве успешно продвигается программа по реконструкции аэропорта при участии таких известных компаний, как «Томсон-Электроник и «Буиг», а также проект по модернизации сахарного завода.</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Весьма значимыми для решения вопроса международной интеграции Татарстана являются межправительственные торгово-экономические соглашения, заключенные с Турцией, Болгарией, Венгрией, Албанией, Свободной Землей Саксония и Землей Нижняя Саксония.</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Республика Татарстан является привлекательным объектом для инвестиций. На ее долю приходится до 7% инвестиций, получаемых Россией из-за рубежа, а по абсолютному их объему Татарстан занимает третье место после Москвы и Санкт-Петербурга. К середине 1996 года в Татарстане было зарегистрировано 250 предприятий с иностранными инвестициями. Интерес зарубежных партнеров к инвестированию объясняется прежде всего созданным в республике благоприятным климатом для иностранных инвесторов. Татарстан, находясь в выгодном природно-географическом положении, обладая богатыми природными ресурсами, имеет высокоразвитую промышленную базу, хорошие внутренние и внешние коммуникации и стабильную политическую обстановку.</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Привлечение иностранных инвестиций относится к числу важнейших направлений деятельности Президента и Правительства республики. Для решения данной задачи активно используются как меры финансового, так и организационно-правового характера, а</w:t>
      </w:r>
      <w:r w:rsidR="000E1F06" w:rsidRPr="00A61696">
        <w:rPr>
          <w:sz w:val="28"/>
          <w:szCs w:val="28"/>
        </w:rPr>
        <w:t xml:space="preserve"> </w:t>
      </w:r>
      <w:r w:rsidRPr="00A61696">
        <w:rPr>
          <w:sz w:val="28"/>
          <w:szCs w:val="28"/>
        </w:rPr>
        <w:t>также такие стратегические преимущества республики, как стабильность в политической и экономической жизни, богатые природные ресурсы, наличие мощной промышленной и научно-технической базы, высококвалифицированная рабочая сила, выгодное природно-географическое положение, собственная нормативная база, предоставляющая иностранным инвесторам значительные налоговые льготы и гарантии, защиту инвестиций, возможность получения земли под строительство, информационное обеспечение деятельности инвесторов.</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Все это создало республике репутацию политически и экономически стабильного региона с низким уровнем рисков для зарубежных инвесторов. Подтверждением этому стало создание совместно с «Дженерал Моторс» предприятия по производству автомобилей на заводе ЕлАЗ, привлечение стратегических инвесторов к работе с КамАЗом, производящим большегрузные автомобили, а также к деятельности АО «Татнефть». Наблюдается повышенный интерес иностранных инвесторов к наукоемким отраслям (машиностроение, металлообработка, топливная промышленность), способствующим развитию всей экономики республики.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К 1997 году Татарстан уже имел до 200 проработанных инвестиционных проектов, требующих привлечения иностранного капитала на сумму более 2 млрд. долларов США. По оценкам специалистов, наиболее интересными и приоритетными направлениями для инвестирования в 1997 году являлись нефтедобыча и нефтепереработка, конверсия предприятий оборонной промышленности, производство и переработка сельхозпродукции, развитие телекоммуникаций, транспорта, разработка и внедрение информационных технологий, производство медицинского оборудования, инструментов и лекарственных препаратов, производство строительных материалов, развитие бизнес-инфраструктур и др.</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Кабинет Министров республики дал поручение министерствам и ведомствам приступить к проработке 44 инвестиционных проектов, по которым предполагается закупка технологического оборудования в Германии в рамках Кредитно-торгового соглашения между Правительством Татарстана и федеральным ведомством Германии. К числу перспективных проектов, которые рекомендованы к финансированию в рамках Ежегодного кредитно-торгового соглашения с Германией, можно отнести такие проекты, как «Переоборудование линии трехслойного антикоррозионного покрытия (АО Альметьевский трубный завод), «Техническое перевооружение производства синтетических моющих средств (АО «Нэфис»), «Обновление—2001» (АО Юдинская швейная фабрика), «Организация производства нитроэмалей высокого качества по пигментной технологии» и др.</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Правительство РТ предпринимает существенные шаги по организационному обеспечению инвестиционного процесса. Важным в этой связи стало создание Общенационального центра содействия инвестициям, который занимается выработкой и реализацией единой инвестиционной политики, координацией действий государственных, финансовых и нефинансовых институтов по привлечению иностранных инвестиций, активизации инвестиционного процесса в целом.</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рамках данного Центра образуется и начинает работать единая сеть инвестиционных бюро в Москве, Нью-Йорке, Лондоне, Париже, Амстердаме, Аммане, Бахрейне, Токио, Канберре, Каракасе, Сингапуре и других крупных деловых центрах мира. Основная задача их деятельности—это поиск партнеров и отработка схем финансирования по республиканским инвестиционным проектам.</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Татарстан активно развивает сотрудничество с международными организациями, среди которых наиболее интенсивный информационный обмен налажен с ЮНИДО (Организацией Объединенных Наций по содействию промышленному развитию). Совместно с ее экспертами разработаны проекты программ привлечения иностранных инвестиций в экономику республики, закупаются новые технологии в области сельского хозяйства и др.</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Развивается сотрудничество и с Центром по тяжелым нефтям и битумам ЮНИТАР.</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Проводится совместная работа с ЕБРР (Европейским Банком реконструкции и развития) по финансированию ряда крупных инвестиционных проектов. Банк, созданный для поддержки реформ в странах Центральной и Восточной Европы, стремится активизировать свою деятельность в регионах России. Татарстан выбран ЕБРР для сотрудничества как партнер, имеющий благоприятный инвестиционный климат и как наиболее динамично развивающийся регион России.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числе перспективных задач—проработка возможностей и вариантов взаимовыгодного сотрудничества с международной организацией по страхованию инвестиций группой компаний Мирового банка и Международным Банком реконструкции и развития.</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Подготовлены предложения в Правительство республики по перечню Международных организаций, в которых необходимо представительство республики, таких, как ЮНИДО, МИГА (Организация Мирового Банка по страхованию инвестиций), Международный торговый центр ЮНГТАД/ГАТТ, ЮНИТАР, ЕБРР. Прорабатывается вопрос об открытии в г. Казани ряда торгово-экономических представительств, миссий и консульских учреждений отдельных зарубежных государств.</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Для реализации и качественной подготовки инвестиционных проектов в рамках Центра содействия инвестициям организуется ряд специализированных компаний: Национальная инжиниринговая компания, Центр информации, анализа и мониторинга, Центр маркетинга и международной конъюнктуры, Консалтинговая фирма и Аудиторская компания. Реализация данного масштабного проекта позволит в достаточно короткие сроки создать эффективно действующую многоступенчатую систему государственных гарантий инвестиций и страхования инвестиционных рисков.</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Особое внимание в Татарстане уделяется совершенствованию законодательства, развитию нормативно-правовой базы внешнеэкономической деятельности. Действующий с 1994 года Закон «Об иностранных инвестициях в Республике Татарстан» в отличие от аналогичного федерального закона предусматривает возможность получения дополнительных налоговых льгот и гарантий по инвестиционным проектам, представляющим особо важное народнохозяйственное значение.</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Определение понятия «иностранная инвестиция» является ключевым вопросом в Законе, поскольку таким образом устанавливается круг правоотношений, подпадающих под его регулирование. Признавая то или иное лицо иностранным инвестором, Татарстан тем самым признает его право на льготы и гарантии, провозглашенные в законе. Для лица, осуществляющего инвестиции, всегда важно заранее знать, будут ли его действия рассматриваться как таковые. Статья 2 Закона под иностранными инвестициями понимает «все виды имущественных и интеллектуальных ценностей, вкладываемых иностранными инвесторами в объекты предпринимательской и других видов деятельности в целях получения прибыли. Такими ценностями могут быть материальные и нематериальные активы, денежные средства, целевые банковские вклады, акции, облигации и иные ценные бумаги».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Льготы по налогообложению для иностранных инвесторов установлены также рядом специальных нормативных актов. Это прежде всего Указ Президента Татарстана «О стимулировании привлечения иностранных инвестиций в Республику Татарстан», предусматривающий освобождение от налогов сроком на три года предприятий с иностранными инвестициями, у которых доля иностранных инвесторов в уставном фонде составляет не менее 30%, а в эквивалентной сумме не менее 1 млн. долларов США. Они освобождаются от уплаты налогов на прибыли, на имущество в части, зачисляемой в республиканский бюджет.</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Законом «О статусе одобренного инвестиционного проекта с участием иностранного инвестора» предусматриваются порядок и процедура предоставления индивидуальных финансовых и иных видов инвестиционных льгот по отдельным инвестиционным проектам. Закон позволяет создать принципиально новый механизм реализации инвестиционных проектов, предусматривающих капитальные вложения иностранных инвесторов в стратегически важные отрасли экономики республики.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соответствии с названным законодательным актом производится классификация проектов по трем основным группам. К крупным инвестиционным проектам отнесены те проекты, по которым совокупные иностранные и отечественные капиталовложения превышают 10 млн. долларов США, при этом доля иностранного инвестора в общей сумме должна составлять не менее 45% собственных и заемных средств. Также особо выделены инвестиционные проекты, диапазон инвестиций по которым оцениваются от 2 до 10 млн. долларов США, при условии долевого участия иностранного инвестора в размере не менее 35% инвестируемых средств.</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соответствии с данной классификацией предоставляется полное или частичное освобождение деятельности предприятий от республиканских и местных налогов в период освоения вводимых мощностей. Предоставление льгот осуществляется на основе заключений независимой экспертизы и инвестиционных конкурсов по каждой категории проектов. В Законе предусматривается также особый режим поддержки инвестиционных проектов малого предпринимательства.</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Кроме того, принят Закон «Об основах внешнеторговой деятельности в Республике Татарстан». Готовятся проекты республиканских законов «О концессиях», «О концессионных договорах, заключаемых с иностранными инвесторами», «О свободных экономических зонах».</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Предпринимаемые усилия по привлечению западных инвестиций дают свои конкретные результаты. Подписано рамочное кредитное соглашение между Татарстаном и федеральным ведомством по особым задачам в связи с объединением Германии, которое под гарантии страховой фирмы «Гермес» и нефтяные контракты Татарстана выделяет один миллиард немецких марок инвестиционных кредитов на 5 лет. Кредит будет использоваться для реализации социальных и конверсионных проектов. Другой германский кредит в 150 млн. немецких марок выделен на реконструкцию Буинского сахарного завода. Голландия предоставила кредит в размере 14,7 млн. долларов на приобретение технологии возделывания картофеля и строительство картофелехранилищ. Все кредиты гарантируются нефтяными контрактами.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По тому же принципу Татарстан получает кредиты из Франции: 140 млн. долларов США выделяется на реконструкцию аэропорта, 75 млн. долларов—на организацию производства сельхозмашин для возделывания свеклы и на реконструкцию Заинского сахарного завода.</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Кроме того, получены кредиты Эксимбанка США в размере 115,3 млн. долларов на строительство комплекса гидроочистки средних дистиллятов нефти в АО «Нижнекамскнефтехим» и 32 млн. долларов США на комплексное оснащение межрегиональной клинической больницы.</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целом гарантии, предоставляемые иностранному инвестору республиканским законодательством, разделяются на три группы и обеспечивают неприкосновенность имущества, составляющего иностранную инвестицию на территории республики, право иностранного инвестора пользоваться результатами своей предпринимательской деятельности, гарантии, касающиеся порядка разрешения споров, возникающих в связи с осуществлением инвестиций.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Немаловажной является, например, гарантия стабильности законодательства, регулирующего правовое положение иностранных инвестиций. Мировая практика обеспечивает инвестору гарантии в случае принятия в стране законодательства, ухудшающего условия инвестирования. В случае принятия подобного закона в Татарстане и ограничения деятельности иностранных инвесторов соответствующие нормы этого закона будут применяться только по истечении трех лет с момента их вступления в силу.</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Большое значение в плане гарантий инвесторам имеет и тот факт, что Правительство республики, создавая систему институтов рыночной экономики, предусматривает в своем очередном бюджете статью об обслуживании финансовых обязательств РТ.</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Промышленная политика Татарстана в 1997 году была ориентирована на повышение эффективности производства и конкурентоспособности производимой продукции, на поддержку товаропроизводителей и реформирование предприятий на микроуровне.</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С целью дальнейшего развития экономики и производительных сил республики с помощью зарубежных инвестиций Кабинет министров объявил список приоритетных проектов, в финансировании которых предполагается участие не только инвесторов республики и Российской Федерации, но и стран дальнего и ближнего зарубежья, в который были включены: реконструкция на долевой основе с привлечением зарубежных автомобилестроительных компаний объектов КамАЗа, промышленная разработка с привлечением иностранного капитала и технологий залежей тяжелых углеводородов, завершение на долевой основе строительства объектов ЕлАЗа с привлечением иностранного капитала. Приоритетными также оставались такие проекты, как строительство новых нефтеперерабатывающих установок на базе нефтехимических производств в Нижнекамске, создание международного центра логистики в Зеленодольском районе, проектирование и участие в строительства трансконтинентальной автомобильной магистрали Москва—Владивосток, создание нефтеналивного флота, производство судов типа «река-море». Правительство также было намерено осуществить строительство мостового перехода через реку Каму в районе села Сорочьи Горы, реконструкцию объектов энергетики, строительство объектов международной связи, реконструкцию аэропортов республики для приема воздушных судов, осуществляющих международные пассажирские рейсы и грузовые перевозки.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Использование объектов незавершенного строительства бывшей Татарской атомной станции в рабочем поселке Камские Поляны Нижнекамского района и завершение ввода в эксплуатацию Новоменделеевского химического завода также были важными элементами общей программы действий.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Премьер-</w:t>
      </w:r>
      <w:r w:rsidR="00CB5FDE">
        <w:rPr>
          <w:sz w:val="28"/>
          <w:szCs w:val="28"/>
        </w:rPr>
        <w:t>министр Республики Татарстан Ф.</w:t>
      </w:r>
      <w:r w:rsidRPr="00A61696">
        <w:rPr>
          <w:sz w:val="28"/>
          <w:szCs w:val="28"/>
          <w:lang w:val="en-US"/>
        </w:rPr>
        <w:t>X</w:t>
      </w:r>
      <w:r w:rsidRPr="00A61696">
        <w:rPr>
          <w:sz w:val="28"/>
          <w:szCs w:val="28"/>
        </w:rPr>
        <w:t>. Мухаметшин, выступая на международном конгрессе-выставке, организованном в феврале 1997 года в Москве, по теме «Международное инвестиционное сотрудничество. Инвестиционный атлас строительной индустрии России», отметил проблему, которую еще предстоит разрешать федеральному центру и регионам: «Привлечение инвестиций является ключевым вопросом развития экономики Российской Федерации. К сожалению, инвестиции и кредиты, которые централизованно выделяются России по линии МВФ и ЕБРР и других международных организаций, не попадают пропорционально и непосредственно в экономику Татарстана. Это особенно несправедливо, поскольку ответственность за централизованные кредиты несут в основном регионы, обеспечивая гарантии сырьевыми поставками. Деньги, проходящие через Москву, оказываются значительно дороже и делают наши компании менее конкурентоспособными. Более того, неурегулированность финансовых отношений федеральных властей с рядом государств отражается на результатах переговоров, которые вел и ведет Татарстан с соответствующими правительствами».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Торговая палата РТ, а также Агентство по развитию международного сотрудничества Татарстана, другие министерства и ведомства самостоятельно заключают взаимовыгодные соглашения с зарубежными партнерами, внося вклад в разнообразную деятельность республиканских структур в области внешних и внешнеэкономических связей. Такие соглашения были заключены с Египтом, Индией, Арабскими Эмиратами и некоторыми другими странами.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Децентрализация внешних связей в Российской Федерации, а также вовлечение в этот процесс все новых и новых хозяйствующих субъектов и зарубежных партнеров предопределили необходимость разработки- «Концепции внешнеэкономических связей», которая была утверждена Кабинетом Министров в декабре 1993 года. Социально-ориентированная рыночная экономика и удовлетворение на этой основе материальных и духовных потребностей многонационального народа Татарстана путем развития всестороннего сотрудничества со странами ближнего и дальнего зарубежья и постепенного подключения к международному разделению труда—так сформулирована основная стратегическая задача концепции внешнеэкономической деятельности, которая конкретизируется в 5 разделах документа, касающихся: целей и основных задач, оценки существующего внешнеэкономического потенциала, приоритетных направлений развития внешнеэкономической деятельности, правового, проблем информационного и организационного обеспечения, подготовки и повышения квалифицированных кадров для внешнеэкономической деятельности.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Авторы концепции подчеркивают, что эти цели невозможно реализовать без совершенствования правовой базы в республике. Закон о внешнеэкономической деятельности, принятие которого становится настоятельной необходимостью, мог бы определить ее цели и принципы, сферу применения, компетенцию государственных органов, но, главное, он должен, исходя из существующей правовой базы, закрепить самостоятельность республики в осуществлении внешнеэкономической деятельности. Особое внимание в законе должно быть уделено механизмам ее реализации и координации в</w:t>
      </w:r>
      <w:r w:rsidR="000E1F06" w:rsidRPr="00A61696">
        <w:rPr>
          <w:sz w:val="28"/>
          <w:szCs w:val="28"/>
        </w:rPr>
        <w:t xml:space="preserve"> </w:t>
      </w:r>
      <w:r w:rsidRPr="00A61696">
        <w:rPr>
          <w:sz w:val="28"/>
          <w:szCs w:val="28"/>
        </w:rPr>
        <w:t>контексте договорных отношений по разграничению предметов ведения с Российской Федерацией.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Стратегия в области внешнеэкономических связей выдвигает на повестку дня вопрос об эффективности исполнения договорных обязательств и деятельности, вытекающей из распределения предметов ведения с Российской Федерацией в области международных и внешних связей, и обеспечении последовательности договорного процесса в области внешнеэкономических связей с иностранными государствами.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При этом авторы концепции исходили из ст. 62 Конституции РТ, в которой предусмотрено заключение международных договоров и участие в международных организациях, и статьи 3 Соглашения между правительством РФ и РТ о разграничении полномочий в области внешнеэкономических связей.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Естественно, что утвержденная стратегия диктует необходимость учета глобальных геополитических факторов и проведения серьезных маркетинговых исследований.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Нет сомнений в том, что рассматривавшийся выше проект Закона РФ «О разграничении полномочий между Российской Федерацией и субъектами Российской Федерации в вопросах международных и внешнеэкономических связей» должен быть гармонизирован с уже существующей в республиках законодательной базой.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С другой стороны, существующая с 1993 года стратегия внешне-экономической деятельности на рубеже нового тысячелетия также может получить новые очертания с учетом разработки Концепции внешних связей Республики Татарстан и республиканского закона об основах внешней торговли.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Такие обнадеживающие перспективы открывает новый российский федерализм перед Республикой Татарстан, если при этом оба разностатусных, но равноправных партнера—Российская Федерация и Республика Татарстан достигнут понимания, что только баланс интересов сторон способен раскрыть весь потенциал возможностей взаимовыгодных федеральных отношений.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Заслуживает отдельного рассмотрения проблема коллизий между актами субъекта Федерации и Федерации в целом. Следует ожидать, что, несмотря на очевидное противодействие регионов, Российская Федерация будет настаивать на формуле, когда ее акты и акты субъектов по вопросам порядка организации внешнеэкономических связей будут признаваться в той мере, в какой они не противоречат федеральному законодательству, регулирующему эту деятельность, и международным договорам Российской Федерации.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соответствии со статьей 71 Конституции Российской Федерации к ее ведению отнесено федеральное коллизионное право. В нем выделяется пять элементов: а) признание только федеральных органов субъектами, принимающими решения в коллизионных ситуациях внутрифедерального характера; б) установление конституционной презумпции приоритета либо закона Федерации, либо правового акта ее субъекта; в) установление правила «перехода компетенции» в случае неиспользования правотворческих полномочий Федерации</w:t>
      </w:r>
      <w:r w:rsidR="000E1F06" w:rsidRPr="00A61696">
        <w:rPr>
          <w:sz w:val="28"/>
          <w:szCs w:val="28"/>
        </w:rPr>
        <w:t xml:space="preserve"> </w:t>
      </w:r>
      <w:r w:rsidRPr="00A61696">
        <w:rPr>
          <w:sz w:val="28"/>
          <w:szCs w:val="28"/>
        </w:rPr>
        <w:t>или ее субъекта; г) допущение временного правового регулирования субъектами Федерации вопросов совместного ведения; д) признание возможности применения законов одного субъекта на территории другого субъекта. Некоторые правоведы уверены, что необходимо срочно доработать и принять закон «О процедурах преодоления разногласий и разрешения споров между органами государственной власти РФ и ее субъектов».</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Сложившаяся в Российской Федерации практика, как правило, признает верховенство общефедерального законодательства, и последние решения Конституционного суда РФ свидетельствуют, что именно такое верховенство остается одним из важнейших принципов федеративного устройства России. Применение этого принципа, по мнению многих законодателей, обеспечивает сохранение единого социально-экономического и правового пространства и единства федеративной государственности в целом. Этот принцип предполагает, что как по предметам исключительного ведения, так и по предметам совместного ведения Федерации и ее субъектов при наличии противоречий между нормативно-законодательными актами Федерации и ее субъектов действуют общефедеральные акты. Принцип общефедерального законодательства не исключает самостоятельного законотворчества субъектов, но вместе с тем предполагает действие четкого механизма наложения санкций к тому субъекту, в нормативно-законодательных актах которого открыто провозглашается или скрыто проводится принцип верховенства собственного законодательства.</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связи с этим весьма конструктивными представляются п</w:t>
      </w:r>
      <w:r w:rsidR="00207B2C">
        <w:rPr>
          <w:sz w:val="28"/>
          <w:szCs w:val="28"/>
        </w:rPr>
        <w:t>редложения, сформулированные В.Н. Лихачевым и Б.</w:t>
      </w:r>
      <w:r w:rsidRPr="00A61696">
        <w:rPr>
          <w:sz w:val="28"/>
          <w:szCs w:val="28"/>
        </w:rPr>
        <w:t>Л. Железновым: «Было бы целесообразным закрепить в будущем законе о внешнеэкономической деятельности следующий порядок разрешения коллизий законов (и иных нормативных актов) Российской Федерации и Республики Татарстан:</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 в случае коллизии законов по вопросам, входящим в исключительную компетенцию Российской Федерации и Республики Татарстан, приоритетному применению подлежит закон той стороны, к исключительной компетенции, которой относятся регулируемый данным законом вопрос;</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w:t>
      </w:r>
      <w:r w:rsidR="00705AC1" w:rsidRPr="00A61696">
        <w:rPr>
          <w:sz w:val="28"/>
          <w:szCs w:val="28"/>
        </w:rPr>
        <w:t xml:space="preserve"> </w:t>
      </w:r>
      <w:r w:rsidRPr="00A61696">
        <w:rPr>
          <w:sz w:val="28"/>
          <w:szCs w:val="28"/>
        </w:rPr>
        <w:t>по вопросам же, относимым к совместному ведению, целесообразно закрепить правило о приоритетном применении российского законодательства. Это правило следует из общих конституционных положений, относящихся к разграничению предметов ведения Федерации и ее субъектов. В соответствии с п.5 ст. 76 Конституции Российской Федерации «в случае противоречия между федеральным законом и иным актом, изданным в Российской Федерации, действует федеральный закон»</w:t>
      </w:r>
      <w:r w:rsidRPr="00A61696">
        <w:rPr>
          <w:sz w:val="28"/>
          <w:szCs w:val="28"/>
          <w:vertAlign w:val="superscript"/>
        </w:rPr>
        <w:t>31</w:t>
      </w:r>
      <w:r w:rsidRPr="00A61696">
        <w:rPr>
          <w:sz w:val="28"/>
          <w:szCs w:val="28"/>
        </w:rPr>
        <w:t>.</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Интересным, пожалуй, представляется опыт Швейцарии в разрешении аналогичных коллизий, связанных с «конкурирующей компетенцией» властей. Это принцип, действующий в сфере распределения компетенции по предметам совместного ведения конфедерации и кантонов, в соответствии с которым до тех пор, пока конфедерация не примет закона или какого-либо нормативного акта по данной конкурирующей компетенции, в сфере предметов совместного ведения продолжает действовать законодательство кантонов, и последние могут принимать по ним любые нормативно-законодательные акты. Когда же конфедерация принимает по данному вопросу свое нормативно-законодательное решение, то в противоположность порядку, действующему в ФРГ, это не ведет автоматически к необходимости отказа от кантонального нормативного законодательного акта. Конституция обязывает федеральную законодательную власть установить лишь общие принципы нормативно-законодательного регулирования. При этом за кантонами остается право собственного законодательного регулирования данного предмета ведения в пределах централизованно установленных общих принципов.</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Б. Железнов и В. Лихачев предлагают создать на паритетных началах юридическую комиссию для изучения всего комплекса правовых проблем, возникающих в процессе осуществления внешнеэкономической деятельности.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Внешние связи могут быть эффективными, когда обе стороны вносят свой вклад, помогая друг другу, но не вмешиваясь в чужую компетенцию. Таков алгоритм предложения Б. Железнова и В. Лихачева, базирующийся на текущем законодательстве.</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Комиссия, без сомнения, необходима. Но должно иметь место стремление двух сторон двигаться навстречу друг другу, а не замыкаться в юридической казуистике в толковании параграфов, касающихся разграничения предметов ведения. У каждой из коллизионных сторон должно проявиться желание использовать существующий положительный опыт превентивной работы по предупреждению юридических коллизий.</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Формирование основных принципов международной деятельности Татарстана происходило в период активного продвижения национального суверенитета. Важной частью этого суверенитета является возможность иметь в мире статус равноправного партнера в области торгово-экономического сотрудничества. В полной мере это относится к международным связям в области образования и культуры.</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90-е годы с выходом Республики Татарстан и других субъектов Федерации на международную арену была начата серьезная работа как самостоятельно, так и совместно с федеральными структурами по реализации полномочий, представленных субъектам РФ Конституцией Российской Федерации, соглашениями и другими нормативными актами, в том числе двусторонними договорами по разграничению предметов ведения и полномочий между государственными органами Российской Федерации и государственными органами субъектов РФ.</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Вышеупомянутые и другие примеры международных и внешнеэкономических связей республики свидетельствуют, что подписанный Договор о разграничении предметов ведения и взаимном делегировании полномочий закрепляет полномасштабное участие Татарстана во всем объеме международных и внешнеэкономических связей России, позволяет устанавливать отношения с иностранными государствами, участвовать в деятельности международных организаций, тем самым реализуя в рамках своих конституционно-договорных полномочий зафиксированное в Основном Законе республики положение о своей международной правосубъектности.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Вступление Республики Татарстан в Ассамблею регионов Европы (АРЕ) открывает новые возможности для расширения программ взаимовыгодного сотрудничества с регионами-партнерами под эгидой этой уважаемой организации.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Как известно, Татарстан активно поддержал принятую в ходе декабрьской 1996 года сессии Ассамблеи Декларацию о регионализме в Европе и активно продвигает ее принципы среди регионов России.</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январе 1995 года во Дворце мира в Гааге по инициативе Президента Татарстана Минтимера Шаймиева, Группы по урегулированию конфликтов Гарвардского университета и Института этнологии и антропологии Российской академии наук состоялся международный консультативный «круглый стол» политических лидеров ряда стран постсоветского пространства по урегулированию смертоносных конфликтов. В работе «круглого стола» приняли участие представители регионов бывшего СССР, где сохраняются очаги напряженности (Абхазия, Грузия, Гагаузия, Крым, Молдова, Приднестровье,), а также ряда международных организаций и известные эксперты. Этот форум, который стал впоследствии традиционным, получил название «Гаагские инициативы». В рамках «Гаагских инициатив» в марте 1996 года состоялась вторая, а в апреле 1997 года—третья встреча этой серии. На второй встрече, в которой, кроме традиционных участников, присутствовали представители Королевского министерства иностранных дел Голландии, Министерства по делам национальностей и федеративным отношениям Российской Федерации, а также Проекта укрепления демократических институтов Гарвардского университета обсуждалась тема: «От конфронтации к наведению мостов». На третьей встрече, где присутствовала официально приглашенная делегация Чечни во главе с вице-президентом В. Арслановым, а с российской стороны—руководители Совета безопасности Российской Федерации и МИД России, имел место заинтересованный разговор о положении в Чеченской республике Ичкерия после подписания мирного договора с Россией. Таким образом, Республика Татарстан—субъект Российской Федерации—стал инициатором одной из крупнейших миротворческих инициатив, получившей признание как в России, так и за рубежом.</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В одном из своих выступлений в Гааге Пр</w:t>
      </w:r>
      <w:r w:rsidR="00B661B1">
        <w:rPr>
          <w:sz w:val="28"/>
          <w:szCs w:val="28"/>
        </w:rPr>
        <w:t>езидент Республики Татарстан М.</w:t>
      </w:r>
      <w:r w:rsidRPr="00A61696">
        <w:rPr>
          <w:sz w:val="28"/>
          <w:szCs w:val="28"/>
        </w:rPr>
        <w:t xml:space="preserve">Ш. Шаймиев высказал важную мысль, которая как бы раскрывает суть происходящего каждые два года в Гааге: «На пороге </w:t>
      </w:r>
      <w:r w:rsidRPr="00A61696">
        <w:rPr>
          <w:sz w:val="28"/>
          <w:szCs w:val="28"/>
          <w:lang w:val="en-US"/>
        </w:rPr>
        <w:t>XXI</w:t>
      </w:r>
      <w:r w:rsidRPr="00A61696">
        <w:rPr>
          <w:sz w:val="28"/>
          <w:szCs w:val="28"/>
        </w:rPr>
        <w:t xml:space="preserve"> века политики должны, наконец, научиться делать все возможное, чтобы только мирными средствами путем переговоров находить согласие и решать самые сложные проблемы, которых еще очень много, особенно после распада такой крупной империи, как СССР.»</w:t>
      </w:r>
    </w:p>
    <w:p w:rsidR="00A44C9A" w:rsidRPr="00A61696" w:rsidRDefault="00A44C9A" w:rsidP="00705AC1">
      <w:pPr>
        <w:shd w:val="clear" w:color="auto" w:fill="FFFFFF"/>
        <w:spacing w:line="360" w:lineRule="auto"/>
        <w:ind w:firstLine="709"/>
        <w:jc w:val="both"/>
        <w:rPr>
          <w:sz w:val="28"/>
          <w:szCs w:val="28"/>
        </w:rPr>
      </w:pPr>
      <w:r w:rsidRPr="00A61696">
        <w:rPr>
          <w:sz w:val="28"/>
          <w:szCs w:val="28"/>
        </w:rPr>
        <w:t>Гаагские инициативы М. Шаймиева стали возможны только в условиях признания суверенитета и прав Татарстана в федеративном государстве, каким на рубеже второго тысячелетия становится Россия.</w:t>
      </w:r>
    </w:p>
    <w:p w:rsidR="00A44C9A" w:rsidRPr="00A61696" w:rsidRDefault="0047331F" w:rsidP="00705AC1">
      <w:pPr>
        <w:spacing w:line="360" w:lineRule="auto"/>
        <w:ind w:firstLine="709"/>
        <w:jc w:val="both"/>
        <w:rPr>
          <w:b/>
          <w:i/>
          <w:sz w:val="28"/>
          <w:szCs w:val="28"/>
        </w:rPr>
      </w:pPr>
      <w:r>
        <w:rPr>
          <w:b/>
          <w:sz w:val="28"/>
          <w:szCs w:val="28"/>
        </w:rPr>
        <w:br w:type="page"/>
      </w:r>
      <w:r w:rsidR="00A44C9A" w:rsidRPr="00A61696">
        <w:rPr>
          <w:b/>
          <w:sz w:val="28"/>
          <w:szCs w:val="28"/>
        </w:rPr>
        <w:t>Литература</w:t>
      </w:r>
    </w:p>
    <w:p w:rsidR="00A44C9A" w:rsidRPr="00A61696" w:rsidRDefault="00A44C9A" w:rsidP="00705AC1">
      <w:pPr>
        <w:spacing w:line="360" w:lineRule="auto"/>
        <w:ind w:firstLine="709"/>
        <w:jc w:val="both"/>
        <w:rPr>
          <w:sz w:val="28"/>
          <w:szCs w:val="28"/>
        </w:rPr>
      </w:pPr>
    </w:p>
    <w:p w:rsidR="00A44C9A" w:rsidRPr="00A61696" w:rsidRDefault="00A44C9A" w:rsidP="0047331F">
      <w:pPr>
        <w:spacing w:line="360" w:lineRule="auto"/>
        <w:jc w:val="both"/>
        <w:rPr>
          <w:sz w:val="28"/>
          <w:szCs w:val="28"/>
        </w:rPr>
      </w:pPr>
      <w:r w:rsidRPr="00A61696">
        <w:rPr>
          <w:sz w:val="28"/>
          <w:szCs w:val="28"/>
        </w:rPr>
        <w:t>1 Газета Республика Татарстан</w:t>
      </w:r>
    </w:p>
    <w:p w:rsidR="00A44C9A" w:rsidRPr="00A61696" w:rsidRDefault="00A44C9A" w:rsidP="0047331F">
      <w:pPr>
        <w:spacing w:line="360" w:lineRule="auto"/>
        <w:jc w:val="both"/>
        <w:rPr>
          <w:sz w:val="28"/>
          <w:szCs w:val="28"/>
        </w:rPr>
      </w:pPr>
      <w:r w:rsidRPr="00A61696">
        <w:rPr>
          <w:sz w:val="28"/>
          <w:szCs w:val="28"/>
        </w:rPr>
        <w:t xml:space="preserve">2 Журнал </w:t>
      </w:r>
      <w:r w:rsidRPr="005F20C6">
        <w:rPr>
          <w:sz w:val="28"/>
          <w:szCs w:val="28"/>
        </w:rPr>
        <w:t>"Внешнеэкономические связи", №4 (16), 2005, с.45-46.</w:t>
      </w:r>
    </w:p>
    <w:p w:rsidR="0047331F" w:rsidRDefault="0047331F" w:rsidP="0047331F">
      <w:pPr>
        <w:spacing w:line="360" w:lineRule="auto"/>
        <w:jc w:val="both"/>
        <w:rPr>
          <w:sz w:val="28"/>
          <w:szCs w:val="28"/>
          <w:lang w:val="en-US"/>
        </w:rPr>
      </w:pPr>
      <w:r>
        <w:rPr>
          <w:sz w:val="28"/>
          <w:szCs w:val="28"/>
          <w:lang w:val="en-US"/>
        </w:rPr>
        <w:t>3</w:t>
      </w:r>
      <w:r w:rsidR="00E638CA" w:rsidRPr="00A61696">
        <w:rPr>
          <w:sz w:val="28"/>
          <w:szCs w:val="28"/>
        </w:rPr>
        <w:t>Википедия</w:t>
      </w:r>
      <w:r w:rsidR="00E638CA" w:rsidRPr="00A61696">
        <w:rPr>
          <w:sz w:val="28"/>
          <w:szCs w:val="28"/>
          <w:lang w:val="en-US"/>
        </w:rPr>
        <w:t xml:space="preserve"> </w:t>
      </w:r>
      <w:r w:rsidR="00E638CA" w:rsidRPr="00A61696">
        <w:rPr>
          <w:sz w:val="28"/>
          <w:szCs w:val="28"/>
        </w:rPr>
        <w:t>энциклопедия</w:t>
      </w:r>
      <w:r w:rsidR="00705AC1" w:rsidRPr="005F20C6">
        <w:rPr>
          <w:sz w:val="28"/>
          <w:lang w:val="en-US"/>
        </w:rPr>
        <w:t>http://ru.wikipedia.org/wiki/%D0%92%D0%B8%D0%BA%D0%B8%D0%BF%D0%B5%D0%B4%D0%B8%D1%8F - cite_note-6</w:t>
      </w:r>
    </w:p>
    <w:p w:rsidR="0047331F" w:rsidRPr="00836453" w:rsidRDefault="0047331F" w:rsidP="0047331F">
      <w:pPr>
        <w:spacing w:line="360" w:lineRule="auto"/>
        <w:ind w:firstLine="709"/>
        <w:jc w:val="center"/>
        <w:rPr>
          <w:color w:val="FFFFFF"/>
          <w:sz w:val="28"/>
          <w:szCs w:val="28"/>
        </w:rPr>
      </w:pPr>
      <w:bookmarkStart w:id="0" w:name="_GoBack"/>
      <w:bookmarkEnd w:id="0"/>
    </w:p>
    <w:sectPr w:rsidR="0047331F" w:rsidRPr="00836453" w:rsidSect="00A61696">
      <w:headerReference w:type="default" r:id="rId6"/>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A6A" w:rsidRDefault="00197A6A">
      <w:r>
        <w:separator/>
      </w:r>
    </w:p>
  </w:endnote>
  <w:endnote w:type="continuationSeparator" w:id="0">
    <w:p w:rsidR="00197A6A" w:rsidRDefault="0019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A6A" w:rsidRDefault="00197A6A">
      <w:r>
        <w:separator/>
      </w:r>
    </w:p>
  </w:footnote>
  <w:footnote w:type="continuationSeparator" w:id="0">
    <w:p w:rsidR="00197A6A" w:rsidRDefault="00197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1F" w:rsidRPr="000B11F0" w:rsidRDefault="0047331F" w:rsidP="0047331F">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C9A"/>
    <w:rsid w:val="000761EE"/>
    <w:rsid w:val="000B11F0"/>
    <w:rsid w:val="000E1F06"/>
    <w:rsid w:val="00197A6A"/>
    <w:rsid w:val="00207B2C"/>
    <w:rsid w:val="003929C3"/>
    <w:rsid w:val="0047331F"/>
    <w:rsid w:val="005C5644"/>
    <w:rsid w:val="005F20C6"/>
    <w:rsid w:val="006A6F7C"/>
    <w:rsid w:val="00705AC1"/>
    <w:rsid w:val="00721625"/>
    <w:rsid w:val="00836453"/>
    <w:rsid w:val="009F2FC9"/>
    <w:rsid w:val="00A44C9A"/>
    <w:rsid w:val="00A61696"/>
    <w:rsid w:val="00B40F8D"/>
    <w:rsid w:val="00B661B1"/>
    <w:rsid w:val="00BA59AD"/>
    <w:rsid w:val="00CB5FDE"/>
    <w:rsid w:val="00D10DE4"/>
    <w:rsid w:val="00D2590E"/>
    <w:rsid w:val="00D974DD"/>
    <w:rsid w:val="00E05077"/>
    <w:rsid w:val="00E150AF"/>
    <w:rsid w:val="00E55FE3"/>
    <w:rsid w:val="00E638CA"/>
    <w:rsid w:val="00E70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38A138-3B2A-4621-B76A-D6CC99D3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4C9A"/>
    <w:rPr>
      <w:rFonts w:cs="Times New Roman"/>
      <w:color w:val="0000FF"/>
      <w:u w:val="single"/>
    </w:rPr>
  </w:style>
  <w:style w:type="paragraph" w:styleId="a4">
    <w:name w:val="header"/>
    <w:basedOn w:val="a"/>
    <w:link w:val="a5"/>
    <w:uiPriority w:val="99"/>
    <w:rsid w:val="0047331F"/>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47331F"/>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35962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Международные отношения Татарстана</vt:lpstr>
    </vt:vector>
  </TitlesOfParts>
  <Company/>
  <LinksUpToDate>false</LinksUpToDate>
  <CharactersWithSpaces>42186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Международные отношения Татарстана</dc:title>
  <dc:subject/>
  <dc:creator>Дени</dc:creator>
  <cp:keywords/>
  <dc:description/>
  <cp:lastModifiedBy>admin</cp:lastModifiedBy>
  <cp:revision>2</cp:revision>
  <cp:lastPrinted>2009-12-21T11:31:00Z</cp:lastPrinted>
  <dcterms:created xsi:type="dcterms:W3CDTF">2014-03-24T18:59:00Z</dcterms:created>
  <dcterms:modified xsi:type="dcterms:W3CDTF">2014-03-24T18:59:00Z</dcterms:modified>
</cp:coreProperties>
</file>