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76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392476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392476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392476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392476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392476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392476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392476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  <w:lang w:val="en-US"/>
        </w:rPr>
      </w:pPr>
    </w:p>
    <w:p w:rsidR="00392476" w:rsidRPr="00392476" w:rsidRDefault="00392476" w:rsidP="00392476">
      <w:pPr>
        <w:shd w:val="clear" w:color="000000" w:fill="auto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392476">
        <w:rPr>
          <w:b/>
          <w:iCs/>
          <w:sz w:val="28"/>
          <w:szCs w:val="28"/>
        </w:rPr>
        <w:t>Международные валютно-кредитные организации</w:t>
      </w:r>
    </w:p>
    <w:p w:rsidR="00392476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BA4D10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92476">
        <w:rPr>
          <w:b/>
          <w:iCs/>
          <w:sz w:val="28"/>
          <w:szCs w:val="28"/>
        </w:rPr>
        <w:br w:type="page"/>
        <w:t>Содержание</w:t>
      </w:r>
    </w:p>
    <w:p w:rsidR="00BA4D10" w:rsidRPr="00392476" w:rsidRDefault="00BA4D10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BA4D10" w:rsidRPr="00392476" w:rsidRDefault="00BA4D10" w:rsidP="00392476">
      <w:pPr>
        <w:shd w:val="clear" w:color="000000" w:fill="auto"/>
        <w:spacing w:line="360" w:lineRule="auto"/>
        <w:jc w:val="both"/>
        <w:rPr>
          <w:iCs/>
          <w:sz w:val="28"/>
          <w:szCs w:val="28"/>
        </w:rPr>
      </w:pPr>
      <w:r w:rsidRPr="00392476">
        <w:rPr>
          <w:iCs/>
          <w:sz w:val="28"/>
          <w:szCs w:val="28"/>
        </w:rPr>
        <w:t>Введение</w:t>
      </w:r>
    </w:p>
    <w:p w:rsidR="00BA4D10" w:rsidRPr="00392476" w:rsidRDefault="00BA4D10" w:rsidP="0039247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392476">
        <w:rPr>
          <w:bCs/>
          <w:sz w:val="28"/>
          <w:szCs w:val="28"/>
        </w:rPr>
        <w:t>1. Банк международных расчетов (БМР)</w:t>
      </w:r>
      <w:r w:rsidR="00392476" w:rsidRPr="00392476">
        <w:rPr>
          <w:bCs/>
          <w:sz w:val="28"/>
          <w:szCs w:val="28"/>
        </w:rPr>
        <w:t xml:space="preserve"> </w:t>
      </w:r>
    </w:p>
    <w:p w:rsidR="00392476" w:rsidRPr="00392476" w:rsidRDefault="00FD6A70" w:rsidP="0039247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2. Международный валютный фонд (МВФ)</w:t>
      </w:r>
      <w:r w:rsidR="00392476" w:rsidRPr="00392476">
        <w:rPr>
          <w:sz w:val="28"/>
          <w:szCs w:val="28"/>
        </w:rPr>
        <w:t xml:space="preserve"> </w:t>
      </w:r>
    </w:p>
    <w:p w:rsidR="00FD6A70" w:rsidRPr="00392476" w:rsidRDefault="00FD6A70" w:rsidP="00392476">
      <w:pPr>
        <w:shd w:val="clear" w:color="000000" w:fill="auto"/>
        <w:spacing w:line="360" w:lineRule="auto"/>
        <w:jc w:val="both"/>
        <w:rPr>
          <w:bCs/>
          <w:sz w:val="28"/>
          <w:szCs w:val="28"/>
        </w:rPr>
      </w:pPr>
      <w:r w:rsidRPr="00392476">
        <w:rPr>
          <w:bCs/>
          <w:sz w:val="28"/>
          <w:szCs w:val="28"/>
        </w:rPr>
        <w:t>3.Группа всемирного банка</w:t>
      </w:r>
      <w:r w:rsidR="00392476" w:rsidRPr="00392476">
        <w:rPr>
          <w:bCs/>
          <w:sz w:val="28"/>
          <w:szCs w:val="28"/>
        </w:rPr>
        <w:t xml:space="preserve"> </w:t>
      </w:r>
    </w:p>
    <w:p w:rsidR="00BA4D10" w:rsidRPr="00392476" w:rsidRDefault="00BA4D10" w:rsidP="00392476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4. Региональные международные кредитно-финансовые институты</w:t>
      </w:r>
      <w:r w:rsidR="00392476" w:rsidRPr="00392476">
        <w:rPr>
          <w:sz w:val="28"/>
          <w:szCs w:val="28"/>
        </w:rPr>
        <w:t xml:space="preserve"> </w:t>
      </w:r>
    </w:p>
    <w:p w:rsidR="00BA4D10" w:rsidRPr="00392476" w:rsidRDefault="002E0545" w:rsidP="00392476">
      <w:pPr>
        <w:shd w:val="clear" w:color="000000" w:fill="auto"/>
        <w:spacing w:line="360" w:lineRule="auto"/>
        <w:jc w:val="both"/>
        <w:rPr>
          <w:iCs/>
          <w:sz w:val="28"/>
          <w:szCs w:val="28"/>
        </w:rPr>
      </w:pPr>
      <w:r w:rsidRPr="00392476">
        <w:rPr>
          <w:iCs/>
          <w:sz w:val="28"/>
          <w:szCs w:val="28"/>
        </w:rPr>
        <w:t>Список литературы</w:t>
      </w:r>
      <w:r w:rsidR="00392476" w:rsidRPr="00392476">
        <w:rPr>
          <w:iCs/>
          <w:sz w:val="28"/>
          <w:szCs w:val="28"/>
        </w:rPr>
        <w:t xml:space="preserve"> </w:t>
      </w:r>
    </w:p>
    <w:p w:rsidR="00BA4D10" w:rsidRPr="00392476" w:rsidRDefault="00BA4D10" w:rsidP="00392476">
      <w:pPr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6F0089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92476">
        <w:rPr>
          <w:iCs/>
          <w:sz w:val="28"/>
          <w:szCs w:val="28"/>
        </w:rPr>
        <w:br w:type="page"/>
      </w:r>
      <w:r w:rsidR="00BA4D10" w:rsidRPr="00392476">
        <w:rPr>
          <w:b/>
          <w:iCs/>
          <w:sz w:val="28"/>
          <w:szCs w:val="28"/>
        </w:rPr>
        <w:t>Введение</w:t>
      </w:r>
    </w:p>
    <w:p w:rsidR="00FD6A70" w:rsidRPr="00392476" w:rsidRDefault="00FD6A70" w:rsidP="00392476">
      <w:pPr>
        <w:shd w:val="clear" w:color="000000" w:fill="auto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D26344" w:rsidRPr="00392476" w:rsidRDefault="00D26344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iCs/>
          <w:sz w:val="28"/>
          <w:szCs w:val="28"/>
        </w:rPr>
        <w:t>Международные расчеты</w:t>
      </w:r>
      <w:r w:rsidRPr="00392476">
        <w:rPr>
          <w:i/>
          <w:iCs/>
          <w:sz w:val="28"/>
          <w:szCs w:val="28"/>
        </w:rPr>
        <w:t xml:space="preserve"> — </w:t>
      </w:r>
      <w:r w:rsidRPr="00392476">
        <w:rPr>
          <w:sz w:val="28"/>
          <w:szCs w:val="28"/>
        </w:rPr>
        <w:t>это организация и регулирование платежей по денежным требованиям и обязательствам, возникающим на базе экономических, политических, научно-технических и культурных отношений между государствами, юридическими и физическими лицами, находящимися в разных странах. Международные расчеты выступают как повседневная деятельность банков, производящих расчеты с другими странами на основе выработанных международным сообществом и принятых в большинстве стран условий, норм и порядка осуществления расчетов. Расчеты осуществляются преимущественно безналичным путем в форме записей на счетах банков.</w:t>
      </w:r>
    </w:p>
    <w:p w:rsidR="00D26344" w:rsidRPr="00392476" w:rsidRDefault="00D26344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Деятельность банков в сфере международных расчетов является объектом государственного регулирования. Для своевременного и рационального осуществления международных расчетов банки поддерживают необходимые валютные позиции в разных валютах в соответствии со структурой и сделками предстоящих платежей. Все внешнеторговые сделки связаны с платежами, т.е. переводом денег из одной страны в другую. </w:t>
      </w:r>
    </w:p>
    <w:p w:rsidR="00AE49F3" w:rsidRPr="00392476" w:rsidRDefault="00D26344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В целях развития </w:t>
      </w:r>
      <w:r w:rsidR="00B007C1" w:rsidRPr="00392476">
        <w:rPr>
          <w:sz w:val="28"/>
          <w:szCs w:val="28"/>
        </w:rPr>
        <w:t xml:space="preserve">сотрудничества и обеспечения целостности и стабилизации всемирного хозяйства созданы международные валютно-кредитные и финансовые организации. </w:t>
      </w:r>
      <w:r w:rsidR="00AE49F3" w:rsidRPr="00392476">
        <w:rPr>
          <w:sz w:val="28"/>
          <w:szCs w:val="28"/>
        </w:rPr>
        <w:t>Эти учреждения появились в текущем столетии, создавались и действуют на основании межгосударственных соглашений и призваны регулировать международные экономические отношения. В их состав входят, например</w:t>
      </w:r>
      <w:r w:rsidR="00AE49F3" w:rsidRPr="00392476">
        <w:rPr>
          <w:i/>
          <w:iCs/>
          <w:sz w:val="28"/>
          <w:szCs w:val="28"/>
        </w:rPr>
        <w:t xml:space="preserve">, </w:t>
      </w:r>
      <w:r w:rsidR="00AE49F3" w:rsidRPr="00392476">
        <w:rPr>
          <w:sz w:val="28"/>
          <w:szCs w:val="28"/>
        </w:rPr>
        <w:t>Банк международных расчетов, Всемирный банк, Европейский банк реконструкции и развития и небанковские институты, в частности Международный валютный фонд и др. Они следуют своим целям, решают разные задачи и действуют в глобальном или региональном масштабах.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49F3" w:rsidRPr="00392476" w:rsidRDefault="00392476" w:rsidP="00392476">
      <w:pPr>
        <w:pStyle w:val="a7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E49F3" w:rsidRPr="00392476">
        <w:rPr>
          <w:b/>
          <w:bCs/>
          <w:sz w:val="28"/>
          <w:szCs w:val="28"/>
        </w:rPr>
        <w:t>Банк международных расчетов (БМР)</w:t>
      </w:r>
    </w:p>
    <w:p w:rsidR="00FD6A70" w:rsidRPr="00392476" w:rsidRDefault="00FD6A70" w:rsidP="00392476">
      <w:pPr>
        <w:pStyle w:val="a7"/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БМР — первый международный банк. Он создан в 1930 г. на основании межправительственного соглашения Англии, Бельгии, Германии, Италии, Франции и Японии. Эти государства подписали также конвенцию со Швейцарией, в соответствии с которой БМР был размещен в Базеле. Среди первых его учредителей, помимо центральных банков названных стран, были и отдельные коммерческие банки США во главе с Банкирским домом Моргана. Целью создания БМР провозглашалось содействие сотрудничеству центральных банков стран-участниц и обеспечение международных расчетов между ними. К 1932 г. его участниками стали еще 19 стран Европы.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Являясь учредителями БМР, центральные банки этих стран выступают одновременно и его клиентами. Поэтому БМР часто называют международным банком центральных банков. Приоритет в управлении деятельностью БМР традиционно сохраняется за странами Западной Европы, хотя США наращивают здесь свое влияние.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Более 30 государств в настоящее время являются членами БМР, в том числе европейские — бывшие социалистические страны: Албания, Болгария, Венгрия, Польша и др., вошедшие в него еще до Второй мировой войны. Состав участников и география операций современного БМР свидетельствуют о превращении его из региональной западноевропейской в международную валютно-кредитную организацию.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Управление деятельностью БМР осуществляется Общим собранием и Советом директоров, а сам Банк в сущности является акционерной расчетной палатой. Согласно уставу основными его функциями являются обеспечение благоприятных условий для международных финансовых операций и выполнение роли доверенного лица при проведении межгосударственных расчетов участников. Банк проводит депозитно-ссудные, фондовые и другие операции, в том числе с золотом, а также осуществляет межгосударственное регулирование валютно-кредитных отношений. Валютой расчетов по операциям принят золотой швейцарский франк, а доллар США используется для выплаты дивидендов акционерам.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В целях поддержки курсов ведущих мировых валют БМР с начала 60-х гг. начал проводить специальные операции — совместные валютные интервенции центральных банков («базельские кредиты»). Для покрытия неожиданного роста спроса на иностранную валюту он практикует операции своп с центральными банками участников. Кроме того, БМР является признанным в мире крупным экономическим информационно-исследовательским центром. Он проводит политику активного сотрудничества с другими международными кредитно-финансовыми организациями, деятельность которых будет рассмотрена ниже.</w:t>
      </w:r>
    </w:p>
    <w:p w:rsidR="00FD6A70" w:rsidRPr="00392476" w:rsidRDefault="00FD6A70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E49F3" w:rsidRPr="00392476" w:rsidRDefault="00AE49F3" w:rsidP="00392476">
      <w:pPr>
        <w:pStyle w:val="a7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92476">
        <w:rPr>
          <w:b/>
          <w:sz w:val="28"/>
          <w:szCs w:val="28"/>
        </w:rPr>
        <w:t xml:space="preserve">Международный валютный фонд (МВФ) </w:t>
      </w:r>
    </w:p>
    <w:p w:rsidR="00FD6A70" w:rsidRPr="00392476" w:rsidRDefault="00FD6A70" w:rsidP="00392476">
      <w:pPr>
        <w:pStyle w:val="a7"/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bCs/>
          <w:sz w:val="28"/>
          <w:szCs w:val="28"/>
        </w:rPr>
        <w:t xml:space="preserve">Международный валютный фонд </w:t>
      </w:r>
      <w:r w:rsidRPr="00392476">
        <w:rPr>
          <w:sz w:val="28"/>
          <w:szCs w:val="28"/>
        </w:rPr>
        <w:t>начал свою деятельность с марта 1947 г. в качестве специализированного органа ООН. Его штаб-квартира расположена в Нью-Йорке. Совет управляющих — руководящий орган МВФ — состоит из министров финансов или управляющих центральными банками стран-участниц и собирается ежегодно. Директорат — исполнительный орган включает 6 представителей от стран с наибольшей долей капитала в Фонде и 16 — от остальных стран, избираемых по географическому признаку.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Капитал МВФ складывается из взносов (в соответствии с установленными квотами) участников, размер которых зависит от экономического потенциала и активности страны в международной торговле. Первоначально взносы уплачивались частично золотом (четверть квоты) и частично национальной валютой. Затем, с апреля 1978 г., четвертая часть квоты стала засчитываться в </w:t>
      </w:r>
      <w:r w:rsidRPr="00392476">
        <w:rPr>
          <w:sz w:val="28"/>
          <w:szCs w:val="28"/>
          <w:lang w:val="en-US"/>
        </w:rPr>
        <w:t>SDR</w:t>
      </w:r>
      <w:r w:rsidRPr="00392476">
        <w:rPr>
          <w:sz w:val="28"/>
          <w:szCs w:val="28"/>
        </w:rPr>
        <w:t xml:space="preserve"> или в установленных МВФ валютах стран-участниц.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В начальный период деятельности Фонд объединял 49 стран и располагал капиталом около 8 млрд долл (</w:t>
      </w:r>
      <w:r w:rsidRPr="00392476">
        <w:rPr>
          <w:sz w:val="28"/>
          <w:szCs w:val="28"/>
          <w:vertAlign w:val="superscript"/>
        </w:rPr>
        <w:t>1</w:t>
      </w:r>
      <w:r w:rsidRPr="00392476">
        <w:rPr>
          <w:sz w:val="28"/>
          <w:szCs w:val="28"/>
        </w:rPr>
        <w:t xml:space="preserve"> Здесь и далее доллары США)</w:t>
      </w:r>
      <w:r w:rsidRPr="00392476">
        <w:rPr>
          <w:sz w:val="28"/>
          <w:szCs w:val="28"/>
          <w:vertAlign w:val="superscript"/>
        </w:rPr>
        <w:t>1</w:t>
      </w:r>
      <w:r w:rsidRPr="00392476">
        <w:rPr>
          <w:sz w:val="28"/>
          <w:szCs w:val="28"/>
        </w:rPr>
        <w:t>. В настоящее время число его участников почти учетверилось, а капитал возрос примерно в 16 раз. Две трети капитала принадлежит ограниченному контингенту развитых государств, остальная часть — многочисленным развивающимся странам. В соответствии с долей капитала устанавливается количество голосов каждой страны в руководящих органах Фонда.</w:t>
      </w:r>
    </w:p>
    <w:p w:rsidR="00AE49F3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 </w:t>
      </w:r>
      <w:r w:rsidR="00AE49F3" w:rsidRPr="00392476">
        <w:rPr>
          <w:sz w:val="28"/>
          <w:szCs w:val="28"/>
        </w:rPr>
        <w:t xml:space="preserve">Наибольшим числом голосов обладают США (более 19%) и страны Европейского Союза (около 30%). За последние годы возросла доля квот и соответственно голосов развивающихся стран </w:t>
      </w:r>
      <w:r w:rsidR="00AE49F3" w:rsidRPr="00392476">
        <w:rPr>
          <w:iCs/>
          <w:sz w:val="28"/>
          <w:szCs w:val="28"/>
        </w:rPr>
        <w:t>-</w:t>
      </w:r>
      <w:r w:rsidR="00AE49F3" w:rsidRPr="00392476">
        <w:rPr>
          <w:i/>
          <w:iCs/>
          <w:sz w:val="28"/>
          <w:szCs w:val="28"/>
        </w:rPr>
        <w:t xml:space="preserve"> </w:t>
      </w:r>
      <w:r w:rsidR="00AE49F3" w:rsidRPr="00392476">
        <w:rPr>
          <w:sz w:val="28"/>
          <w:szCs w:val="28"/>
        </w:rPr>
        <w:t>экспортеров нефти. Для принятия наиболее важных решений МВФ необходимо 85% голосов участников, в других случаях — достаточно 70%.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Основными функциями МВФ являются: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 содействие развитию международной торговли и валютного сотрудничества;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поддержание устойчивости валютных паритетов и устранение валютных ограничений;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предоставление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кредитных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ресурсов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любым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странам-участницам для выравнивания платежных балансов.</w:t>
      </w:r>
    </w:p>
    <w:p w:rsidR="00AE49F3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 </w:t>
      </w:r>
      <w:r w:rsidR="00AE49F3" w:rsidRPr="00392476">
        <w:rPr>
          <w:sz w:val="28"/>
          <w:szCs w:val="28"/>
        </w:rPr>
        <w:t>Страны-участницы обязаны регулярно информировать МВФ о своих золотовалютных резервах, состоянии экономики, платежного баланса и т.д.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Членство в Фонде является обязательным условием для вступления страны в МБРР и другие, родственные ему валютно-кредитные организации. Советский Союз, будучи участником Бреттон-Вудской конференции 1944 г. и подписав документы об учреждении МВФ и МБРР, не ратифицировал их и не внес установленную часть капитала. Лишь в 1991 г. Президент СССР подал официальное заявление о приеме страны в эти организации, и к середине 1993 г. все республики бывшего Советского Союза стали полноправными их участниками.</w:t>
      </w:r>
    </w:p>
    <w:p w:rsidR="00FD6A70" w:rsidRPr="00392476" w:rsidRDefault="00FD6A70" w:rsidP="00392476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49F3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E0545" w:rsidRPr="00392476">
        <w:rPr>
          <w:b/>
          <w:bCs/>
          <w:sz w:val="28"/>
          <w:szCs w:val="28"/>
        </w:rPr>
        <w:t>3.</w:t>
      </w:r>
      <w:r w:rsidRPr="00392476">
        <w:rPr>
          <w:b/>
          <w:bCs/>
          <w:sz w:val="28"/>
          <w:szCs w:val="28"/>
        </w:rPr>
        <w:t xml:space="preserve"> </w:t>
      </w:r>
      <w:r w:rsidR="002E0545" w:rsidRPr="00392476">
        <w:rPr>
          <w:b/>
          <w:bCs/>
          <w:sz w:val="28"/>
          <w:szCs w:val="28"/>
        </w:rPr>
        <w:t>Группа всемирного банка</w:t>
      </w:r>
    </w:p>
    <w:p w:rsidR="00FD6A70" w:rsidRPr="00392476" w:rsidRDefault="00FD6A70" w:rsidP="00392476">
      <w:pPr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bCs/>
          <w:sz w:val="28"/>
          <w:szCs w:val="28"/>
        </w:rPr>
        <w:t xml:space="preserve">Международный банк реконструкции и развития </w:t>
      </w:r>
      <w:r w:rsidRPr="00392476">
        <w:rPr>
          <w:sz w:val="28"/>
          <w:szCs w:val="28"/>
        </w:rPr>
        <w:t xml:space="preserve">начал функционировать с июня 1946 г. в качестве специализированного, независимого в решениях от ООН органа. По мере расширения деятельности Банком были образованы четыре родственных ему подразделения: Международная финансовая корпорация (МФК) — в 1956 г., Международная ассоциация развития (МАР) — в 1960г., Международный центр урегулирования инвестиционных споров (МЦУИС) — в 1966 г. и Многостороннее агентство по гарантированию инвестиций (МАГИ) — в 1988 г. В настоящее время эти учреждения вместе образуют Группу </w:t>
      </w:r>
      <w:r w:rsidRPr="00392476">
        <w:rPr>
          <w:bCs/>
          <w:sz w:val="28"/>
          <w:szCs w:val="28"/>
        </w:rPr>
        <w:t xml:space="preserve">Всемирного банка </w:t>
      </w:r>
      <w:r w:rsidRPr="00392476">
        <w:rPr>
          <w:sz w:val="28"/>
          <w:szCs w:val="28"/>
        </w:rPr>
        <w:t>со штаб-квартирой в Вашингтоне, а МБРР — родоначальника и центральное звено Группы — именуют Всемирным банком (ВБ).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Группа выступает партнером в создании рынков, укреплении экономического потенциала, содействует повышению уровня жизни граждан, особенно в беднейших из развивающихся стран.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Всемирный банк является самым мощным подразделением Группу, обладающим акционерным капиталом в размере около 200 млрд долл., а число его учредителей в настоящее время составляет 180 стран. Каждая из них, в зависимости от квоты в МВФ, имеет свою долю акций и соответственно голосов в руководящих органах. Крупнейшим акционером являются США, имеющие приблизительно 17% голосов. Российская Федерация входит в число крупнейших акционеров, обладая долей около 3%.</w:t>
      </w:r>
    </w:p>
    <w:p w:rsidR="00432CF4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Совет управляющих — высший руководящий орган Банка. Он состоит из министров финансов или управляющих центральными банками стран-участниц, возглавляется президентом и решает вопросы приема новых стран, изменений размера акционерного капитала, временного приостановления членства и др. Советы управляющих Банка и МВФ ежегодно проводят совместные заседания.</w:t>
      </w:r>
      <w:r w:rsidR="00B81769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 xml:space="preserve">Совет исполнительных директоров руководит повседневной деятельностью, постоянно функционирует в штаб-квартире и еженедельно проводит заседания. 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Основными функциями ВБ являются: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инвестиционная деятельность в развивающихся странах по широкому спектру направлений — от здравоохранения, образования и окружающей среды до инфраструктур и реформ экономической политики;</w:t>
      </w:r>
      <w:r w:rsidR="00392476" w:rsidRPr="00392476">
        <w:rPr>
          <w:sz w:val="28"/>
          <w:szCs w:val="28"/>
        </w:rPr>
        <w:t xml:space="preserve"> 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i/>
          <w:iCs/>
          <w:sz w:val="28"/>
          <w:szCs w:val="28"/>
        </w:rPr>
        <w:t>•</w:t>
      </w:r>
      <w:r w:rsidR="00392476" w:rsidRPr="00392476">
        <w:rPr>
          <w:i/>
          <w:iCs/>
          <w:sz w:val="28"/>
          <w:szCs w:val="28"/>
        </w:rPr>
        <w:t xml:space="preserve"> </w:t>
      </w:r>
      <w:r w:rsidRPr="00392476">
        <w:rPr>
          <w:sz w:val="28"/>
          <w:szCs w:val="28"/>
        </w:rPr>
        <w:t>аналитическая и консультативная деятельность по экономическим вопросам;</w:t>
      </w:r>
      <w:r w:rsidR="00392476" w:rsidRPr="00392476">
        <w:rPr>
          <w:sz w:val="28"/>
          <w:szCs w:val="28"/>
        </w:rPr>
        <w:t xml:space="preserve"> 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 постоянная корректировка состава и содержания оказываемых услуг, а также деталей реализуемых программ;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посредничество в перераспределении ресурсов между богатыми и бедными странами.</w:t>
      </w:r>
    </w:p>
    <w:p w:rsidR="00AE49F3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 </w:t>
      </w:r>
      <w:r w:rsidR="00AE49F3" w:rsidRPr="00392476">
        <w:rPr>
          <w:sz w:val="28"/>
          <w:szCs w:val="28"/>
        </w:rPr>
        <w:t>Банк устойчиво получает прибыль (более 1 млрд долл. ежегодно), хотя ее максимизация не является его основной задачей. Прибыль используется на собственное развитие, а дивиденды акционерам не выплачиваются.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В своей деятельности ВБ придерживается определенных принципов, а именно: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выделение ресурсов — только для эффективных капиталовложений, безусловно содействующих экономическому росту развивающихся стран;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принятие инвестиционных решений — исходя лишь из экономических соображений с учетом степени вероятности возврата ресурсов;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 предоставление кредитов — только под гарантии правительств стран-заемщиков, в акционерные капиталы средства не инвестируются;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отсутствие ограничений использования предоставленных ресурсов рамками одной страны-участницы;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направленность деятельности президента и сотрудников исключительно в интересах Банка, а не других субъектов, в том числе правительств стран.</w:t>
      </w:r>
    </w:p>
    <w:p w:rsidR="00AE49F3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 </w:t>
      </w:r>
      <w:r w:rsidR="00AE49F3" w:rsidRPr="00392476">
        <w:rPr>
          <w:sz w:val="28"/>
          <w:szCs w:val="28"/>
        </w:rPr>
        <w:t>Главным направлением деятельности ВБ до середины 50-х гг. было стимулирование развития пострадавшей от войны экономики стран Западной Европы. Первый заем был предоставлен Франции в 1947 г. Постепенно кредитная политика менялась и теперь существенная часть ресурсов выделяется развивающимся странам Азии, Африки, Латинской Америки и Восточной Европы. Помимо этого по сравнению с промышленным сектором возросла доля средств, направляемых на развитие сельского хозяйства, здравоохранения, образования и т.д.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Продавая облигации и другие ценные бумаги пенсионным фондам, страховым компаниям, корпорациям, другим банкам, а также физическим лицам разных стран, ВБ привлекает ресурсы на весьма выгодных условиях, поскольку его долговые обязательства являются высоколиквидными и одними из самых надежных в мире. Акционерный капитал и нераспределенная прибыль также служат источниками ресурсов, при этом соотношение собственных и привлеченных средств выдерживается с большим страховым резервом.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Банк предоставляет займы развивающимся странам на срок 15—17 лет по более низким процентным ставкам, чем коммерческие банки. Каждые полгода ставки пересматриваются. В последнее время их размер изменялся в пределах 7—7,5%. Практикуется отсрочка начала погашения основной суммы займов примерно на пять лет.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За 50 лет своей деятельности на реализацию более 6000 программ в 140 странах мира Банк предоставил займов на сумму, превышающую 300 млрд долл., что в два раза опережает масштабы МВФ. Участие в нем почти всех стран мира позволяет действовать глобально. Выполняя разные функции, ВБ и МВФ являются партнерами и взаимно дополняют друг друга. Другие подразделения Группы ВБ решают свои задачи и имеют отличительные особенности функционирования.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bCs/>
          <w:sz w:val="28"/>
          <w:szCs w:val="28"/>
        </w:rPr>
        <w:t xml:space="preserve">Международная финансовая корпорация (МФК) </w:t>
      </w:r>
      <w:r w:rsidRPr="00392476">
        <w:rPr>
          <w:sz w:val="28"/>
          <w:szCs w:val="28"/>
        </w:rPr>
        <w:t>создана для стимулирования деятельности частного сектора экономики в развивающихся странах без получения правительственных гарантий. Она выпускает собственные облигации, имеющие наивысший рейтинг на мировом рынке, примерно пятую часть потребности в привлеченных ресурсах покрывает за счет заимствований у ВБ.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Корпорация может инвестировать средства в акционерные капиталы предприятий, которым оказывает кредитную поддержку. Она финансирует создание новых и реконструкцию действующих предприятий — от заводов до банков. Большое внимание при этом уделяется развитию малого бизнеса и охране окружающей среды. Предоставляются также консультативные услуги и техническая помощь местным органам власти и предприятиям по широкому спектру направлений.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Одними из главных принципов деятельности МФК являются: финансирование не более 25% общей суммы расходов по проектам; приобретение не более 35% акций предприятий и неучастие в их управлении (невладение контрольными пакетами). Размеры процентных ставок зависят от экономического потенциала страны и характера финансируемого проекта. Погашение займов осуществляется в течение 3—15 лет с предоставлением отсрочки платежей до 12 лет. В настоящее время корпорация ежегодно одобряет займы по более 200 проектам на общую сумму, превышающую 3 млрд долл. Ее участниками являются 170 стран.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bCs/>
          <w:sz w:val="28"/>
          <w:szCs w:val="28"/>
        </w:rPr>
        <w:t xml:space="preserve">Международная ассоциация развития (МАР) </w:t>
      </w:r>
      <w:r w:rsidRPr="00392476">
        <w:rPr>
          <w:sz w:val="28"/>
          <w:szCs w:val="28"/>
        </w:rPr>
        <w:t xml:space="preserve">создана для оказания помощи беднейшим из развивающихся стран, которые не в состоянии брать займы у ВБ. Ассоциация предоставляет им, как правило, беспроцентные кредиты на срок 30—40 лет </w:t>
      </w:r>
      <w:r w:rsidRPr="00392476">
        <w:rPr>
          <w:bCs/>
          <w:sz w:val="28"/>
          <w:szCs w:val="28"/>
        </w:rPr>
        <w:t>в</w:t>
      </w:r>
      <w:r w:rsidRPr="00392476">
        <w:rPr>
          <w:b/>
          <w:bCs/>
          <w:sz w:val="28"/>
          <w:szCs w:val="28"/>
        </w:rPr>
        <w:t xml:space="preserve"> </w:t>
      </w:r>
      <w:r w:rsidRPr="00392476">
        <w:rPr>
          <w:sz w:val="28"/>
          <w:szCs w:val="28"/>
        </w:rPr>
        <w:t>зависимости от кредитоспособности страны и с отсрочкой платежей на 10 лет. Право на получение таких кредитов в настоящее время имеют страны с годовым доходом на душу населения, не превышающим 835 долл.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Средства МАР формируются за счет взносов (по подписке и добровольных) более богатых участников, а также прибыли и платежей по предоставленным кредитам. Российская Федерация вносит существенный вклад в пополнение средств Ассоциации.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Несмотря на юридическую самостоятельность, </w:t>
      </w:r>
      <w:r w:rsidRPr="00392476">
        <w:rPr>
          <w:bCs/>
          <w:sz w:val="28"/>
          <w:szCs w:val="28"/>
        </w:rPr>
        <w:t xml:space="preserve">МАР </w:t>
      </w:r>
      <w:r w:rsidRPr="00392476">
        <w:rPr>
          <w:sz w:val="28"/>
          <w:szCs w:val="28"/>
        </w:rPr>
        <w:t>во многих случаях осуществляет совместную с ВБ деятельность и имеет общий с ним персонал, помещения и другое техническое обеспечение. В настоящее время она ежегодно выделяет кредиты по более 125 проектам на общую сумму около 6 млрд долл., ее членами являются 159 стран.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bCs/>
          <w:sz w:val="28"/>
          <w:szCs w:val="28"/>
        </w:rPr>
        <w:t xml:space="preserve">Международный центр по урегулированию инвестиционных споров (МЦУИС) </w:t>
      </w:r>
      <w:r w:rsidRPr="00392476">
        <w:rPr>
          <w:sz w:val="28"/>
          <w:szCs w:val="28"/>
        </w:rPr>
        <w:t>создан для стимулирования расширения инвестиций путем обеспечения условий для проведения примирительных и арбитражных переговоров между правительствами стран и иностранными инвесторами. Центр осуществляет также консультативную и издательскую деятельность по правовому обеспечению иностранных инвестиций. В настоящее время его членами являются 126 стран, а общее число рассмотренных спорных случаев превышает 30.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bCs/>
          <w:sz w:val="28"/>
          <w:szCs w:val="28"/>
        </w:rPr>
        <w:t xml:space="preserve">Многостороннее агентство по гарантированию инвестиций (МАГИ) </w:t>
      </w:r>
      <w:r w:rsidRPr="00392476">
        <w:rPr>
          <w:sz w:val="28"/>
          <w:szCs w:val="28"/>
        </w:rPr>
        <w:t>создано для оказания помощи развивающимся странам в привлечении частных иностранных инвестиций посредством предоставления инвестором гарантий от политических рисков, а именно: экспроприации, военных действий и гражданских беспорядков, нарушений условий контрактов и т. п. Агентство предоставляет также консультативные услуги правительствам по вопросам возможностей и условий привлечения инвестиций.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Среди заявок на страхование инвестиций предпочтение отдается обоснованным с финансовой, экономической и экологической точек зрения проектам, способным содействовать развитию страны. Страховые полисы МАГИ гарантируют частные инвестиции в течение 15—20 лет, при этом максимальный размер страхового покрытия на один проект не превышает 50 млн долл.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В настоящее время выдаваемые Агентством контракты ежегодно обеспечивают приток прямых инвестиций </w:t>
      </w:r>
      <w:r w:rsidRPr="00392476">
        <w:rPr>
          <w:bCs/>
          <w:sz w:val="28"/>
          <w:szCs w:val="28"/>
        </w:rPr>
        <w:t>в</w:t>
      </w:r>
      <w:r w:rsidRPr="00392476">
        <w:rPr>
          <w:b/>
          <w:bCs/>
          <w:sz w:val="28"/>
          <w:szCs w:val="28"/>
        </w:rPr>
        <w:t xml:space="preserve"> </w:t>
      </w:r>
      <w:r w:rsidRPr="00392476">
        <w:rPr>
          <w:sz w:val="28"/>
          <w:szCs w:val="28"/>
        </w:rPr>
        <w:t>размере, превышающем 2,5 млрд долл., что позволяет развивающимся странам создавать около 10 тысяч дополнительных рабочих мест. Общее число выданных ею контрактов (около 200) обеспечило на сегодняшний день покрытие на сумму более 2 млрд долл. Членами МАГИ являются 132 страны.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bCs/>
          <w:sz w:val="28"/>
          <w:szCs w:val="28"/>
        </w:rPr>
        <w:t xml:space="preserve">Российская Федерация, </w:t>
      </w:r>
      <w:r w:rsidRPr="00392476">
        <w:rPr>
          <w:sz w:val="28"/>
          <w:szCs w:val="28"/>
        </w:rPr>
        <w:t>осуществляя переход к рыночной экономике, стала получать поддержку Группы ВБ с середины 1992 г. и является сейчас одним из крупнейших ее партнеров. Банк выступает главным зарубежным источником долгосрочного финансирования государственного сектора страны. Используя свои родственные организации и других посредников, он играет важную роль и в финансировании частного сектора. С 1993 г. в Москве функционирует постоянное представительство ВБ с численностью сотрудников около 50 челов</w:t>
      </w:r>
      <w:r w:rsidR="00FD6A70" w:rsidRPr="00392476">
        <w:rPr>
          <w:sz w:val="28"/>
          <w:szCs w:val="28"/>
        </w:rPr>
        <w:t>ек.</w:t>
      </w:r>
    </w:p>
    <w:p w:rsid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E49F3" w:rsidRPr="00392476" w:rsidRDefault="004175C5" w:rsidP="0039247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392476">
        <w:rPr>
          <w:b/>
          <w:sz w:val="28"/>
          <w:szCs w:val="28"/>
        </w:rPr>
        <w:t>4.</w:t>
      </w:r>
      <w:r w:rsidR="00AE49F3" w:rsidRPr="00392476">
        <w:rPr>
          <w:b/>
          <w:sz w:val="28"/>
          <w:szCs w:val="28"/>
        </w:rPr>
        <w:t xml:space="preserve"> Региональные международные кредитно-финансовые институты</w:t>
      </w:r>
    </w:p>
    <w:p w:rsid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Появление этих институтов связано с ускорившимся в 60-е гг. распадом мировой колониальной системы, с расширением регионального сотрудничества и экономической интеграции развивающихся стран. К региональным банкам относятся: Межамериканский банк развития (МаБР — учрежден в 1959 г.), Африканский банк развития (АфБР — 1964 г.) и Азиатский банк развития (АзБР — 1966 г.). Учредителями банков кроме развивающихся стран соответствующих регионов стали и другие государства: США, Япония, отдельные страны Западной Европы.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Банки имеют сходные цели, осуществляют однотипные операции, сотрудничество между собой и с другими международными институтами. Развивающиеся страны-участницы получи ют их финансовую поддержку для реализации преимущественно инфраструктурных проектов, а также на развитие предприятий добывающей и обрабатывающей отраслей.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92476">
        <w:rPr>
          <w:b/>
          <w:i/>
          <w:sz w:val="28"/>
          <w:szCs w:val="28"/>
        </w:rPr>
        <w:t>Европейский инвестиционный банк (ЕИБ)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ЕИБ учрежден в 1958 г. странами — членами ЕС. Целями создания Банка провозглашались долгосрочное (20—25 лет) финансирование слабо развитых регионов, осуществление совместных проектов стран-участниц, совершенствование отраслевой производственной структуры европейских государств, а также льготное (до 30—40 лет) кредитование ассоциированных участников.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Совет управляющих, состоящий из министров финансов стран-участниц, и Директорат — президент и несколько его заместителей возглавляют Банк. Такие страны, как ФРГ, Франция, Англия и Италия обладают наибольшей долей уставного капитала, составляющего примерно 15 млрд ЭКЮ. Размер резервного капитала превышает 10% уставного фонда.</w:t>
      </w:r>
    </w:p>
    <w:p w:rsidR="00AE49F3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 </w:t>
      </w:r>
      <w:r w:rsidR="00AE49F3" w:rsidRPr="00392476">
        <w:rPr>
          <w:sz w:val="28"/>
          <w:szCs w:val="28"/>
        </w:rPr>
        <w:t>ЕИБ привлекает средства на европейском и международных рынках капитала, осуществляя систематическую эмиссию облигаций, номинал которых выражается в долларах США, марках ФРГ и других валютах. Развитие энергетики, транспорта, телекоммуникаций — основные направления вложений Банка. Дополняя средства заемщиков, его кредиты традиционно покрывают не более половины стоимости расходов по проектам и могут предоставляться в ЭКЮ и других валютах. Рыночная конъюнктура определяет размер платы за кредит. Такие страны, как Италия, Англия, Франция и Ирландия являются лидирующими заемщиками Банка.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В последние годы Банк как агент Европейского Союза за счет специальных фондов осуществляет кредитование инфраструктурных проектов, в частности развитие энергетики. Мелкие и средние смешанные компании при этом получают ресурсы от определенных кредитных учреждений стран-участниц</w:t>
      </w:r>
      <w:r w:rsidR="00432CF4" w:rsidRPr="00392476">
        <w:rPr>
          <w:sz w:val="28"/>
          <w:szCs w:val="28"/>
        </w:rPr>
        <w:t xml:space="preserve">, </w:t>
      </w:r>
      <w:r w:rsidRPr="00392476">
        <w:rPr>
          <w:sz w:val="28"/>
          <w:szCs w:val="28"/>
        </w:rPr>
        <w:t>которым Банк предоставляе</w:t>
      </w:r>
      <w:r w:rsidR="00432CF4" w:rsidRPr="00392476">
        <w:rPr>
          <w:sz w:val="28"/>
          <w:szCs w:val="28"/>
        </w:rPr>
        <w:t>т финансовую поддержку. Помимо эт</w:t>
      </w:r>
      <w:r w:rsidRPr="00392476">
        <w:rPr>
          <w:sz w:val="28"/>
          <w:szCs w:val="28"/>
        </w:rPr>
        <w:t>ого ЕИБ на льготных условиях финансирует развивающиеся страны — ассоциированные члены ЕС. В настоящее время, например, он планирует профинансировать на 30% польский проект строительства крупной международной автомагистрали, общая сумма которого оценивается в 2,2 млрд ЭКЮ.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Кроме ЕИБ в рамках ЕС и Европейской валютной </w:t>
      </w:r>
      <w:r w:rsidR="00432CF4" w:rsidRPr="00392476">
        <w:rPr>
          <w:sz w:val="28"/>
          <w:szCs w:val="28"/>
        </w:rPr>
        <w:t>системы (Е</w:t>
      </w:r>
      <w:r w:rsidRPr="00392476">
        <w:rPr>
          <w:sz w:val="28"/>
          <w:szCs w:val="28"/>
        </w:rPr>
        <w:t>ВС) действуют и другие, мене</w:t>
      </w:r>
      <w:r w:rsidR="00432CF4" w:rsidRPr="00392476">
        <w:rPr>
          <w:sz w:val="28"/>
          <w:szCs w:val="28"/>
        </w:rPr>
        <w:t>е масштабные кредитно-финансов</w:t>
      </w:r>
      <w:r w:rsidRPr="00392476">
        <w:rPr>
          <w:sz w:val="28"/>
          <w:szCs w:val="28"/>
        </w:rPr>
        <w:t>ые организации, в том числе Европейский фонд валютного сотрудничества (ЕФВС) и Европейский денежный фонд сотрудничества (ЕДФС)</w:t>
      </w:r>
      <w:r w:rsidRPr="00392476">
        <w:rPr>
          <w:sz w:val="28"/>
          <w:szCs w:val="28"/>
          <w:vertAlign w:val="superscript"/>
        </w:rPr>
        <w:t>1</w:t>
      </w:r>
      <w:r w:rsidRPr="00392476">
        <w:rPr>
          <w:sz w:val="28"/>
          <w:szCs w:val="28"/>
        </w:rPr>
        <w:t>. Эти организации выполняют возложенные на них учредителями функции и решают свои задачи.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Европейский банк реконструкции и развития (ЕБРР)</w:t>
      </w:r>
      <w:r w:rsidR="00FD6A70" w:rsidRPr="00392476">
        <w:rPr>
          <w:sz w:val="28"/>
          <w:szCs w:val="28"/>
        </w:rPr>
        <w:t>,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учрежден в 1991 г. для содействия странам Центральной и Восточной Европы, в том числе СНГ, в становлении рыночной экономики. Учредителями Банка в настоящее время валяются 60 государств, включая все европейские страны, РФ, ряд стран других регионов мира (США, Японию) и такие Организации, как ЕС и ЕИБ. Уставный капитал составляет 20 млрд ЭКЮ. Банк осуществляет свою деятельность в странах-операций, число которых достигло 26 после вступления в него н 1996 г. Боснии и Герцеговины. Штаб-квартира ЕБРР расположена в Лондоне, а 28 представительств — во всех странах-операций (кроме Армении). В отличие от других стран, РФ имеет четыре представительства: центральное — в Москве и региональные — в Санкт-Петербурге, Екатеринбурге и Владивостоке.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Совет управляющих во главе с председателем и двумя заместителями руководит Банком и состоит из министров финансов или управляющих центральными банками стран-участниц и представителей от ЕС и ЕИБ. Многие свои полномочия он делегирует Совету директоров, осуществляющему руководство повседневной деятельностью и состоящему из президента, четырех заместителей и 23 ди</w:t>
      </w:r>
      <w:r w:rsidR="00432CF4" w:rsidRPr="00392476">
        <w:rPr>
          <w:sz w:val="28"/>
          <w:szCs w:val="28"/>
        </w:rPr>
        <w:t>ректоров. Каждый из директоров в</w:t>
      </w:r>
      <w:r w:rsidRPr="00392476">
        <w:rPr>
          <w:sz w:val="28"/>
          <w:szCs w:val="28"/>
        </w:rPr>
        <w:t>ходит в состав одного из трех комитетов Совета: ре</w:t>
      </w:r>
      <w:r w:rsidR="00432CF4" w:rsidRPr="00392476">
        <w:rPr>
          <w:sz w:val="28"/>
          <w:szCs w:val="28"/>
        </w:rPr>
        <w:t>визионног</w:t>
      </w:r>
      <w:r w:rsidRPr="00392476">
        <w:rPr>
          <w:sz w:val="28"/>
          <w:szCs w:val="28"/>
        </w:rPr>
        <w:t>о, по бюджетным и административным вопросам, по финансовой и операционной политике. Кроме того, организационная структура Банка включает ряд территориальных и отраслевых отделов, а также другие функциональные подразделения (департаменты и отделы). Общая численность сотрудников Банка превышает 1100 человек (учитывая представительства в странах-операций).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ЕБРР взаимодействует со многими международными институтами и в первую очередь с Группой ВБ. Он привлекает к участию в осуществлении различных проектов также частные национальные коммерческие банки, инвестиционные фонды и другие кредитно-финансовые учреждения. Качеству финансируемых проектов и прежде всего очевидности и реальности экономических выгод для страны от их реализации Банк традиционно уделяет пристальное внимание.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Привлекая средства на международных рынках на весьма выгодных условиях, ЕБРР предоставляет свои услуги по коммерческим ценам. Главным образом это дополнение усилий других кредиторов для оказания поддержки предприятиям, нуждающимся в финансовых ресурсах. Гарантии на экспортные кредиты и розничные банковские услуги он не предоставляет. Банк действует как в государственном, так и в частном секторах экономики, принимая на себя риски, непосильные многим национальным и зарубежным инвесторам.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Основными функциями ЕБРР являются: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прямое финансирование, т.е. предоставление кредитов на реализацию конкретных проектов;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инвестирование средств в акционерные капиталы, а также гарантирование размещения акций государственных и частных предприятий: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предоставление гарантий для содействия заемщикам в получении доступа к источникам капитала;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финансирование с помощью посредников мелких и средних предприятий.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К числу операционных приоритетов Банка относятся: развитие частного сектора, охват всех стран-операций, работа с финансовыми посредниками, вложения в акционерные капиталы. Кроме того, он стремится обеспечивать экологически чистое и устойчивое развитие экономики стран-операций, в том числе путем повышения эффективности энергоиспользования.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В своей деятельности Банк придерживается следующих основных принципов: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ограничение объема финансирования пределами 35% общих издержек по каждому проекту;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требование к другим, в частности промышленным инвесторам, приобретения контрольных пакетов акций или достаточных прав на управление предприятиями;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предоставление на проекты частного сектора не более двух третей суммы заимствуемых средств и не менее одной трети акционерного капитала;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 требование к другим участникам софинансирования выделения дополнительных средств;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 непредоставление средств инвесторам для приобретения уже выпущенных или вновь выпускаемых акций;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•</w:t>
      </w:r>
      <w:r w:rsidR="00392476" w:rsidRPr="00392476">
        <w:rPr>
          <w:sz w:val="28"/>
          <w:szCs w:val="28"/>
        </w:rPr>
        <w:t xml:space="preserve"> </w:t>
      </w:r>
      <w:r w:rsidRPr="00392476">
        <w:rPr>
          <w:sz w:val="28"/>
          <w:szCs w:val="28"/>
        </w:rPr>
        <w:t>необязательность денежной формы доли местного участника проекта.</w:t>
      </w:r>
    </w:p>
    <w:p w:rsidR="00AE49F3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bCs/>
          <w:sz w:val="28"/>
          <w:szCs w:val="28"/>
        </w:rPr>
        <w:t xml:space="preserve"> </w:t>
      </w:r>
      <w:r w:rsidR="00AE49F3" w:rsidRPr="00392476">
        <w:rPr>
          <w:bCs/>
          <w:sz w:val="28"/>
          <w:szCs w:val="28"/>
        </w:rPr>
        <w:t>Прямое финансирование</w:t>
      </w:r>
      <w:r w:rsidR="00AE49F3" w:rsidRPr="00392476">
        <w:rPr>
          <w:b/>
          <w:bCs/>
          <w:sz w:val="28"/>
          <w:szCs w:val="28"/>
        </w:rPr>
        <w:t xml:space="preserve"> </w:t>
      </w:r>
      <w:r w:rsidR="00AE49F3" w:rsidRPr="00392476">
        <w:rPr>
          <w:sz w:val="28"/>
          <w:szCs w:val="28"/>
        </w:rPr>
        <w:t>предоставляется главным образом совместным предприятиям и в первую очередь с участием иностранного капитала. При их кредитовании Банк обычно не требует правительственных гарантий. Кредиты выдаются в любой СКВ, но в основном в долларах США, марках ФРГ и ЭКЮ и погашаются в той же валюте, в которой были выданы. В последнее время Банк начал фондировать кредиты (привлекать для них средства) в ряде местных валют.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Минимальная сумма кредитов ЕБРР составляет 5 млн ЭКЮ, однако он находит возможности для работы с мелкими и средними предприятиями. В последние годы средние размеры его кредитов в государственном секторе составляли 25, а в частном — 16 млн ЭКЮ. Срочность кредитов обычно составляет 5—10 лет, а в исключительных случаях (инфраструктурные проекты) — до 15 лет. Плата за кредит устанавливается с маржой, превышающей ставку ЛИБОР. Кредиты могут предоставляться под «плавающий» или фиксированный процент, а также в некоторых других вариантах. Основная сумма кредитов погашается равными долями каждые полгода.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Финансируемые клиенты обязаны обеспечивать страхование традиционно страхуемых рисков, к которым Банк не относит политические риски и риски неконвертируемости местных валют. Кредиты обеспечиваются залогом активов финансируемых проектов — движимое и недвижимое имущество, акции, перс-уступка прав и т.д. Кредиты ЕБРР исключаются из сумм государственного долга при его реструктуризации, т.е. Банк имеет статус привилегированного кредитора.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Инвестирование средств в акционерные капиталы осуществляется путем подписки на обыкновенные и привилегированные акции или в других формах. При этом Банк не приобретает контрольных пакетов акций и не принимает прямой ответственности за управление предприятиями. Он может также гарантировать размещение акций, выпущенных государственными или частными предприятиями.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Предоставление гарантий практикуется для оказания помощи заемщикам в получении доступа к источникам капитала. Гарантии могут быть от всех рисков, частные и др. При этом кредитный риск должен быть известен и приемлем для Банка.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>Финансирование с помощью посредников является инструментом работы с мелкими и средними предприятиями. Для этого выбранным Банком финансовым учреждениям предоставляется среднесрочное и долгосрочное финансирование в форме кредитных линий. Аналогичное финансирование в отдельных случаях может предоставляться правительствам стран, которые через коммерческие или инвестиционные банки направляют полученные ресурсы мелким и средним предприятиям.</w:t>
      </w:r>
    </w:p>
    <w:p w:rsidR="00AE49F3" w:rsidRPr="00392476" w:rsidRDefault="00AE49F3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392476">
        <w:rPr>
          <w:sz w:val="28"/>
          <w:szCs w:val="28"/>
        </w:rPr>
        <w:t xml:space="preserve">Российская Федерация получает поддержку ЕБРР, направленную главным образом на развитие местных банковских и финансовых учреждений и способствующую становлению частного сектора страны. Мелкие и средние предприятия при посредничестве российских банков получают финансирование на приемлемых для них в настоящее время условиях. </w:t>
      </w:r>
    </w:p>
    <w:p w:rsidR="002E0545" w:rsidRPr="00392476" w:rsidRDefault="00392476" w:rsidP="00392476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392476">
        <w:rPr>
          <w:b/>
          <w:sz w:val="28"/>
          <w:szCs w:val="28"/>
        </w:rPr>
        <w:t>Список литературы</w:t>
      </w:r>
    </w:p>
    <w:p w:rsidR="00392476" w:rsidRPr="00392476" w:rsidRDefault="00392476" w:rsidP="00392476">
      <w:pPr>
        <w:shd w:val="clear" w:color="000000" w:fill="auto"/>
        <w:spacing w:line="360" w:lineRule="auto"/>
        <w:jc w:val="both"/>
        <w:rPr>
          <w:sz w:val="28"/>
          <w:szCs w:val="28"/>
          <w:lang w:val="en-US"/>
        </w:rPr>
      </w:pPr>
    </w:p>
    <w:p w:rsidR="002E0545" w:rsidRPr="00392476" w:rsidRDefault="002E0545" w:rsidP="00392476">
      <w:pPr>
        <w:numPr>
          <w:ilvl w:val="0"/>
          <w:numId w:val="2"/>
        </w:numPr>
        <w:shd w:val="clear" w:color="000000" w:fill="auto"/>
        <w:tabs>
          <w:tab w:val="left" w:pos="0"/>
        </w:tabs>
        <w:overflowPunct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392476">
        <w:rPr>
          <w:sz w:val="28"/>
        </w:rPr>
        <w:t>Буренин А.И. Рынки производных финансовых инструментов. - М.: ИНФРА-М, 2003 г.</w:t>
      </w:r>
    </w:p>
    <w:p w:rsidR="002E0545" w:rsidRPr="00392476" w:rsidRDefault="002E0545" w:rsidP="00392476">
      <w:pPr>
        <w:numPr>
          <w:ilvl w:val="0"/>
          <w:numId w:val="2"/>
        </w:numPr>
        <w:shd w:val="clear" w:color="000000" w:fill="auto"/>
        <w:tabs>
          <w:tab w:val="left" w:pos="0"/>
        </w:tabs>
        <w:overflowPunct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392476">
        <w:rPr>
          <w:sz w:val="28"/>
        </w:rPr>
        <w:t>Круглов В.В. Международные валютно-кредитные отношения и финансовые отношения. - М.: ФиС, 2005г.</w:t>
      </w:r>
    </w:p>
    <w:p w:rsidR="002E0545" w:rsidRPr="00392476" w:rsidRDefault="002E0545" w:rsidP="00392476">
      <w:pPr>
        <w:numPr>
          <w:ilvl w:val="0"/>
          <w:numId w:val="2"/>
        </w:numPr>
        <w:shd w:val="clear" w:color="000000" w:fill="auto"/>
        <w:tabs>
          <w:tab w:val="left" w:pos="0"/>
        </w:tabs>
        <w:overflowPunct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392476">
        <w:rPr>
          <w:sz w:val="28"/>
        </w:rPr>
        <w:t>Курочкин Д.Н. Евро: новая валюта для старого света. Проблемы становления и перспективы развития Европейского экономического и валютного союза. – Мн.: Европейски</w:t>
      </w:r>
      <w:r w:rsidR="00B632DA" w:rsidRPr="00392476">
        <w:rPr>
          <w:sz w:val="28"/>
        </w:rPr>
        <w:t>й гуманитарный университет, 2006</w:t>
      </w:r>
      <w:r w:rsidRPr="00392476">
        <w:rPr>
          <w:sz w:val="28"/>
        </w:rPr>
        <w:t xml:space="preserve"> г.</w:t>
      </w:r>
    </w:p>
    <w:p w:rsidR="002E0545" w:rsidRPr="00392476" w:rsidRDefault="002E0545" w:rsidP="00392476">
      <w:pPr>
        <w:numPr>
          <w:ilvl w:val="0"/>
          <w:numId w:val="2"/>
        </w:numPr>
        <w:shd w:val="clear" w:color="000000" w:fill="auto"/>
        <w:tabs>
          <w:tab w:val="left" w:pos="0"/>
        </w:tabs>
        <w:overflowPunct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392476">
        <w:rPr>
          <w:sz w:val="28"/>
        </w:rPr>
        <w:t>Международные валютно-кредитные и финансовые отношения: Учебник/ Под ред.</w:t>
      </w:r>
      <w:r w:rsidR="00B632DA" w:rsidRPr="00392476">
        <w:rPr>
          <w:sz w:val="28"/>
        </w:rPr>
        <w:t xml:space="preserve"> Л.Н. Красавиной - М.: ФиС, 2003</w:t>
      </w:r>
      <w:r w:rsidRPr="00392476">
        <w:rPr>
          <w:sz w:val="28"/>
        </w:rPr>
        <w:t xml:space="preserve"> г.</w:t>
      </w:r>
    </w:p>
    <w:p w:rsidR="002E0545" w:rsidRPr="00392476" w:rsidRDefault="002E0545" w:rsidP="00392476">
      <w:pPr>
        <w:numPr>
          <w:ilvl w:val="0"/>
          <w:numId w:val="2"/>
        </w:numPr>
        <w:shd w:val="clear" w:color="000000" w:fill="auto"/>
        <w:tabs>
          <w:tab w:val="left" w:pos="0"/>
        </w:tabs>
        <w:overflowPunct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392476">
        <w:rPr>
          <w:sz w:val="28"/>
        </w:rPr>
        <w:t xml:space="preserve">Михайлов Д.М. Международные расчеты и </w:t>
      </w:r>
      <w:r w:rsidR="00B632DA" w:rsidRPr="00392476">
        <w:rPr>
          <w:sz w:val="28"/>
        </w:rPr>
        <w:t>гарантии. - М.: ФБК-ПРЕСС,2005</w:t>
      </w:r>
      <w:r w:rsidRPr="00392476">
        <w:rPr>
          <w:sz w:val="28"/>
        </w:rPr>
        <w:t>г.</w:t>
      </w:r>
    </w:p>
    <w:p w:rsidR="002E0545" w:rsidRPr="00392476" w:rsidRDefault="002E0545" w:rsidP="00392476">
      <w:pPr>
        <w:numPr>
          <w:ilvl w:val="0"/>
          <w:numId w:val="2"/>
        </w:numPr>
        <w:shd w:val="clear" w:color="000000" w:fill="auto"/>
        <w:tabs>
          <w:tab w:val="left" w:pos="0"/>
        </w:tabs>
        <w:overflowPunct w:val="0"/>
        <w:spacing w:line="360" w:lineRule="auto"/>
        <w:ind w:left="0" w:firstLine="0"/>
        <w:jc w:val="both"/>
        <w:textAlignment w:val="baseline"/>
        <w:rPr>
          <w:sz w:val="28"/>
        </w:rPr>
      </w:pPr>
      <w:r w:rsidRPr="00392476">
        <w:rPr>
          <w:sz w:val="28"/>
        </w:rPr>
        <w:t>Основы международных валютно-финансовых и кредитных отношений / под ред. К</w:t>
      </w:r>
      <w:r w:rsidR="00B632DA" w:rsidRPr="00392476">
        <w:rPr>
          <w:sz w:val="28"/>
        </w:rPr>
        <w:t>руглова В.В. – М.: ИНФРА-М, 2007</w:t>
      </w:r>
      <w:r w:rsidRPr="00392476">
        <w:rPr>
          <w:sz w:val="28"/>
        </w:rPr>
        <w:t xml:space="preserve"> г.</w:t>
      </w:r>
    </w:p>
    <w:p w:rsidR="007D33D5" w:rsidRPr="00392476" w:rsidRDefault="007D33D5" w:rsidP="00392476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7D33D5" w:rsidRPr="00392476" w:rsidSect="00392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40" w:rsidRDefault="00E41240" w:rsidP="00BA4D10">
      <w:r>
        <w:separator/>
      </w:r>
    </w:p>
  </w:endnote>
  <w:endnote w:type="continuationSeparator" w:id="0">
    <w:p w:rsidR="00E41240" w:rsidRDefault="00E41240" w:rsidP="00BA4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76" w:rsidRDefault="00392476" w:rsidP="001F56EF">
    <w:pPr>
      <w:pStyle w:val="a5"/>
      <w:framePr w:wrap="around" w:vAnchor="text" w:hAnchor="margin" w:xAlign="right" w:y="1"/>
      <w:rPr>
        <w:rStyle w:val="aa"/>
      </w:rPr>
    </w:pPr>
  </w:p>
  <w:p w:rsidR="00392476" w:rsidRDefault="00392476" w:rsidP="003924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76" w:rsidRDefault="00205F38" w:rsidP="001F56EF">
    <w:pPr>
      <w:pStyle w:val="a5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BA4D10" w:rsidRDefault="00BA4D10" w:rsidP="00392476">
    <w:pPr>
      <w:pStyle w:val="a5"/>
      <w:ind w:right="360"/>
      <w:jc w:val="right"/>
    </w:pPr>
  </w:p>
  <w:p w:rsidR="00BA4D10" w:rsidRDefault="00BA4D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76" w:rsidRDefault="003924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40" w:rsidRDefault="00E41240" w:rsidP="00BA4D10">
      <w:r>
        <w:separator/>
      </w:r>
    </w:p>
  </w:footnote>
  <w:footnote w:type="continuationSeparator" w:id="0">
    <w:p w:rsidR="00E41240" w:rsidRDefault="00E41240" w:rsidP="00BA4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76" w:rsidRDefault="003924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76" w:rsidRDefault="0039247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76" w:rsidRDefault="003924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792"/>
    <w:multiLevelType w:val="hybridMultilevel"/>
    <w:tmpl w:val="219E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9B31DD"/>
    <w:multiLevelType w:val="multilevel"/>
    <w:tmpl w:val="E7A2B4B2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8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6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32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8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6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22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8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344"/>
    <w:rsid w:val="00013545"/>
    <w:rsid w:val="00117F4C"/>
    <w:rsid w:val="001F56EF"/>
    <w:rsid w:val="00205F38"/>
    <w:rsid w:val="002E0545"/>
    <w:rsid w:val="00392476"/>
    <w:rsid w:val="004175C5"/>
    <w:rsid w:val="00432CF4"/>
    <w:rsid w:val="0060385E"/>
    <w:rsid w:val="00695266"/>
    <w:rsid w:val="006F0089"/>
    <w:rsid w:val="007D33D5"/>
    <w:rsid w:val="008253E9"/>
    <w:rsid w:val="00894928"/>
    <w:rsid w:val="00A94E21"/>
    <w:rsid w:val="00AE49F3"/>
    <w:rsid w:val="00B007C1"/>
    <w:rsid w:val="00B608DD"/>
    <w:rsid w:val="00B632DA"/>
    <w:rsid w:val="00B81769"/>
    <w:rsid w:val="00B93821"/>
    <w:rsid w:val="00BA4D10"/>
    <w:rsid w:val="00CB7763"/>
    <w:rsid w:val="00D26344"/>
    <w:rsid w:val="00E41240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56A2F7-968D-489A-B978-DDA81EAF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34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A4D1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BA4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A4D1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List Paragraph"/>
    <w:basedOn w:val="a"/>
    <w:uiPriority w:val="99"/>
    <w:qFormat/>
    <w:rsid w:val="00FD6A70"/>
    <w:pPr>
      <w:ind w:left="720"/>
      <w:contextualSpacing/>
    </w:pPr>
  </w:style>
  <w:style w:type="character" w:customStyle="1" w:styleId="a6">
    <w:name w:val="Нижний колонтитул Знак"/>
    <w:link w:val="a5"/>
    <w:uiPriority w:val="99"/>
    <w:locked/>
    <w:rsid w:val="00BA4D1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B608DD"/>
    <w:rPr>
      <w:rFonts w:ascii="Tahoma" w:hAnsi="Tahoma" w:cs="Tahoma"/>
      <w:sz w:val="16"/>
      <w:szCs w:val="16"/>
    </w:rPr>
  </w:style>
  <w:style w:type="character" w:styleId="aa">
    <w:name w:val="page number"/>
    <w:uiPriority w:val="99"/>
    <w:rsid w:val="00392476"/>
    <w:rPr>
      <w:rFonts w:cs="Times New Roman"/>
    </w:rPr>
  </w:style>
  <w:style w:type="character" w:customStyle="1" w:styleId="a9">
    <w:name w:val="Текст выноски Знак"/>
    <w:link w:val="a8"/>
    <w:uiPriority w:val="99"/>
    <w:semiHidden/>
    <w:locked/>
    <w:rsid w:val="00B608DD"/>
    <w:rPr>
      <w:rFonts w:ascii="Tahoma" w:eastAsia="Times New Roman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4053</Words>
  <Characters>23107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Международные валютно-кредитные организации</vt:lpstr>
    </vt:vector>
  </TitlesOfParts>
  <Company/>
  <LinksUpToDate>false</LinksUpToDate>
  <CharactersWithSpaces>27106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Международные валютно-кредитные организации</dc:title>
  <dc:subject/>
  <dc:creator>Desant</dc:creator>
  <cp:keywords/>
  <dc:description/>
  <cp:lastModifiedBy>admin</cp:lastModifiedBy>
  <cp:revision>2</cp:revision>
  <dcterms:created xsi:type="dcterms:W3CDTF">2014-02-28T08:54:00Z</dcterms:created>
  <dcterms:modified xsi:type="dcterms:W3CDTF">2014-02-28T08:54:00Z</dcterms:modified>
</cp:coreProperties>
</file>