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E43B1">
        <w:rPr>
          <w:b/>
          <w:bCs/>
          <w:sz w:val="28"/>
          <w:szCs w:val="28"/>
        </w:rPr>
        <w:t>Реферат</w:t>
      </w:r>
    </w:p>
    <w:p w:rsidR="005E43B1" w:rsidRDefault="005E43B1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E43B1">
        <w:rPr>
          <w:b/>
          <w:bCs/>
          <w:sz w:val="28"/>
          <w:szCs w:val="28"/>
        </w:rPr>
        <w:t>Международный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аспект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развития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экономических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отношений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ЕС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и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Израиля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43B1" w:rsidRDefault="005E43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Экономическая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самая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динамичная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самая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Союза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Западная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90-е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главный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внешнеторговый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признает,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является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передовых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потенциал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достаточно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велик,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представлять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интерес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особенно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высоких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технологий.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чрезвычайно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заинтересован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расширении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сотрудничества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Европой.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1958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когда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вступил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силу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Римский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договор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Союза,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комиссию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меморандум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заключения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всестороннего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ЕЭС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ЕЭС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представляет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экспорта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стабильный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рынок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сбыта,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подверженный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изменениям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зависимости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климата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отличие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африканского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южноамериканских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рынков).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1990-х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европейскими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действовало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1975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предусматривавшее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зоны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свободной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промышленными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товарами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ЕЭС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1990-х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обеим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очевидно,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устарело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нуждается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пересмотре.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предприниматели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экономисты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особенно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обеспокоены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приближением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1993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когда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объединение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поднимется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качественно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интеграционную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ступень,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сопровождающуюся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единого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рынка.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Выдвигаемые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требования,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касающиеся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содержания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договора,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сводились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следующему: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предоставление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больших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льгот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некоторых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сельскохозяйственных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продуктов;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смягчение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регламентации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экспорта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электронной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промышленности;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предоставление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более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свободного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доступа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государственным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заказам,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прежде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электронную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вычислительную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технику.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лидеры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чрезвычайно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озабочены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дефицитом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балансе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1990-х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соотношение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экспорта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составляло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2:1).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Существует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несколько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причин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дефицита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Европой.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Во-первых,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дискриминация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товаров,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масштабы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трудом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поддаются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оценке.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дискриминацию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указывал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Рабин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январе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1993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главную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причину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дефицита.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только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часть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проблемы.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указывает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другие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причины: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стран-членов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Союза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эффективнее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период,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сделал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многих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шагов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либерализации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частного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предпринимательства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чрезмерных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государственных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бюрократических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ограничений.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товары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менее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конкурентоспособны,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потребности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израильтян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импорте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возросли.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Кроме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того,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прогресс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внутри</w:t>
      </w:r>
      <w:r w:rsidR="005E43B1">
        <w:rPr>
          <w:sz w:val="28"/>
          <w:szCs w:val="28"/>
        </w:rPr>
        <w:t xml:space="preserve"> </w:t>
      </w:r>
      <w:r w:rsidR="005E43B1" w:rsidRPr="005E43B1">
        <w:rPr>
          <w:sz w:val="28"/>
          <w:szCs w:val="28"/>
        </w:rPr>
        <w:t>Евросоюза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оказывают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негативное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влияние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Например,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расширение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счет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Испании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Португалии)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предоставило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владельцам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цитрусовых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плантаций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Иберийского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полуострова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преимущества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сравнению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конкурентами,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первые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могли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беспошлинно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перевозить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продукцию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вынужден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платить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пошлины.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еще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готовы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вести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серьезные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этому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вопросу,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идею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обновления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двумя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пришлось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отложить.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Восприимчивость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предложениям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пересмотре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существующего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находилась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влиянием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процессов.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Когда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находилось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Шамира,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Брюссель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реагировал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подобные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предложения,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победа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левого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главе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Рабиным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июне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изменила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подход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европейцев.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иностранных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Шамира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Давид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Леви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посетил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Брюссель,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где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встречался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лидерами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стран-членов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Леви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пытался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убедить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провести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Брюссель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настаивал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проведении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параллельных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многосторонних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отказался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участвовать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переговорах,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протестуя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против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участия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палестинцев,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проживающих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арабских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странах.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предупредили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Леви,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обновление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договора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последует,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отказывается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попытки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содействовать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региональной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После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победы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левых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возглавил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министерство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иностранных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отправился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тур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столицам,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пытался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заручиться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энтузиазмом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приняли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известие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смене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декабре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начались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помешал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скандал.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17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декабря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похищение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убийство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пограничника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военизированным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крылом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организации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«ХАМАС»,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депортировал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Ливан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более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400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подозреваемых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активистов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«ХАМАС»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группировки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«Исламский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Джихад».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Мировое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общественное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мнение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осудило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акцию,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последующие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несколько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недель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Комиссия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заявила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отсрочке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дальнейших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переговоров.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Комментируя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шаг,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один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дипломатов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отметил: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«Никто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Союзе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говорит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ввести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санкции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против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другой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широко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распространено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мнение,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неправильно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награждать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израильтян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неуважение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человека».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образом,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снова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откладывалось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неопределенный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срок.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Тем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временем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почувствовали,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они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могут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эффективно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воздействовать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ближневосточные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целью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усадить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лидеров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переговоров.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европейцы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приветствовали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условие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достижения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арабскими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странами.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Еще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интересующего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периода,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Мадридской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конференции,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поручена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работа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Региональной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Рабочей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Группы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(РРГЭР)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связям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помощи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Первые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три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раунда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выделили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деятельности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группы,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числе: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коммуникации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транспорт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(развитие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направления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поручено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Франции);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энергетика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(ЕС);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сельское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хозяйство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(Испания);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финансовые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рынки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(Англия);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(Германия).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Четвертый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раунд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состоялся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Копенгагене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сразу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подписания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Декларации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Принципов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Палестиной.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Копенгагене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ясно,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интенсифицировать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работу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РРГЭР,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роль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отодвинута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второй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Группа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приняла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Копенгагенский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Действий,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предусматривал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33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различные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инициативы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Израилю,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соседям.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рабочей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РРГЭР.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последующих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пленарных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заседаниях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Рабате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(июнь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1994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г.)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Бонне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(январь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г.)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ответственные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объявили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инициативах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рамках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Копенгагенского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финансирования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инициатив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объявил,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выделит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6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млн.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долларов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подготовки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анализа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осуществимости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планов,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еще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9,2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млн.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долларов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выделено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исследований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работы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сессиями,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обеспечить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быстрое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выполнение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Копенгагенского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Плана.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стимулирует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использовать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высказывать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идеи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будущей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долгосрочной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перспективе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механизмы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институты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усилий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региональной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пленарном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заседании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Рабате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признали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необходимость: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объединить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общие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возможности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взяться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общих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проблем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координированными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усилиями;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удалить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препятствия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расширению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частного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сектора;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способствовать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региональной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облегчить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инвестирование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инфраструктуры;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свободное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движение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людей,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товаров,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услуг,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капитала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информации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внутри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Рабочая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группа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согласилась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Рабате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учредить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наблюдательный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будет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состоять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представителей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позволить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акторам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Египту,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Израилю,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Иордании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Автономии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принять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прямое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участие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воплощении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Копенгагенского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решено,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будут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возглавлять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региональные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представители,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представители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Главенствующую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роль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будет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выполнять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представитель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будет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меняться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алфавитном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порядке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начиная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Египта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января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года).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рамках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ответственен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торговлю.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ноябре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саммите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Аммане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решено,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секретариат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будет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находиться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здесь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же,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Аммане,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сегодняшний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день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действия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очень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незначительны,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большинство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проектов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зачаточном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состоянии.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менее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первый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функционирующий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региональный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институт,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порожденный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ближневосточным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процессом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усилиями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1994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решил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разрешить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Комиссии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Совета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договоре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постановлении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этому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говорилось: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«Совет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считает,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свете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высокого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уровня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может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иметь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специальный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статус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европейскими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взаимности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общих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интересов».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признание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явилось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шагом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вперед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разработке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Конференция-саммит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Корфу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июне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1994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отметила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медленное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продвижение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заключению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обозреватели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процесса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замечали,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хотя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очень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именно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связи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мирным</w:t>
      </w:r>
      <w:r w:rsidR="005E43B1">
        <w:rPr>
          <w:sz w:val="28"/>
          <w:szCs w:val="28"/>
        </w:rPr>
        <w:t xml:space="preserve"> </w:t>
      </w:r>
      <w:r w:rsidR="005E43B1" w:rsidRPr="005E43B1">
        <w:rPr>
          <w:sz w:val="28"/>
          <w:szCs w:val="28"/>
        </w:rPr>
        <w:t>процессом,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конечном</w:t>
      </w:r>
      <w:r w:rsidR="005E43B1">
        <w:rPr>
          <w:sz w:val="28"/>
          <w:szCs w:val="28"/>
        </w:rPr>
        <w:t xml:space="preserve"> </w:t>
      </w:r>
      <w:r w:rsidR="005E43B1" w:rsidRPr="005E43B1">
        <w:rPr>
          <w:sz w:val="28"/>
          <w:szCs w:val="28"/>
        </w:rPr>
        <w:t>счете,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определят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масштабы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договора.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саммите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Совета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декабре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1994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принята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специальная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декларация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Израилю.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предназначена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того,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увеличить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количество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точек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соприкосновения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подготовить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почву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заключения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иностранных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получил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уведомление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германского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Клауса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Кинкеля,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принципы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подготовлены.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документах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говорится,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расширит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промышленную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сельскохозяйственную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придавал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продолжает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придавать)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особое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значение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исследованиям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разработкам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соответствующим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пунктам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позволят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ему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играть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активную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роль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Другие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финансовые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услуги,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доступ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правительственным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поставкам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культуры,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коммуникаций,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борьба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наркотиками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т.д.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июне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посетил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особенно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горячо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одобрил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«особые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отношения»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должны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сложиться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подписания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процесс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принятия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внешнеполитических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чрезвычайно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затянут,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договор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долгое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время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откладывался.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Греческий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посол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Цокос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отмечал: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«Бюрократия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—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международный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феномен,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страдаем.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знает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этом».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время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визита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марте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британский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премьер-министр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вклад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провел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бизнес-семинар,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приехали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многие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крупные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британские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бизнесмены,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среди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представители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компаний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</w:t>
      </w:r>
      <w:r w:rsidRPr="005E43B1">
        <w:rPr>
          <w:sz w:val="28"/>
          <w:szCs w:val="28"/>
          <w:lang w:val="en-US"/>
        </w:rPr>
        <w:t>British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  <w:lang w:val="en-US"/>
        </w:rPr>
        <w:t>Aerospace</w:t>
      </w:r>
      <w:r w:rsidRPr="005E43B1">
        <w:rPr>
          <w:sz w:val="28"/>
          <w:szCs w:val="28"/>
        </w:rPr>
        <w:t>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</w:t>
      </w:r>
      <w:r w:rsidRPr="005E43B1">
        <w:rPr>
          <w:sz w:val="28"/>
          <w:szCs w:val="28"/>
          <w:lang w:val="en-US"/>
        </w:rPr>
        <w:t>General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  <w:lang w:val="en-US"/>
        </w:rPr>
        <w:t>Electric</w:t>
      </w:r>
      <w:r w:rsidRPr="005E43B1">
        <w:rPr>
          <w:sz w:val="28"/>
          <w:szCs w:val="28"/>
        </w:rPr>
        <w:t>»,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традиционно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воздерживавшихся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бизнеса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Говорилось,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Великобритания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обеспечит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увеличение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количества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грантов,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учителей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английского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языка,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поспособствует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связям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европейскими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университетами.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технологический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фонд,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основанный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1994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совместной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работы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вопросами,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приоритетными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обеих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удвоен.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занимал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3-е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место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Великобритании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оборот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двумя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период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составлял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1,5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млрд.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фунтов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стерлингов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образом,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крупнейшие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продемонстрировали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заинтересованность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готовность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сближению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сфере.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ноябре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Барселоне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Евро-Средиземноморском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партнерстве,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направленные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Средиземноморском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партнерстве,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мысли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официальных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лиц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должно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снизить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напряженность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арабскими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странами.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конференции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Барселоне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присутствовали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членов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11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представителей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других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Средиземноморских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принятой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конференции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Барселонской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Декларации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утверждалось: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1.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безопасности.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Говорилось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общей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зоны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стабильности,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укреплении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диалога,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закона,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демократии,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соблюдении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человека,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свобод,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территориальной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целостности,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добрососедских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отношений.</w:t>
      </w:r>
      <w:r w:rsidR="00492996" w:rsidRPr="00492996">
        <w:t xml:space="preserve"> </w:t>
      </w:r>
      <w:r w:rsidR="00492996" w:rsidRPr="009455C8">
        <w:rPr>
          <w:color w:val="FFFFFF"/>
          <w:sz w:val="28"/>
          <w:szCs w:val="28"/>
        </w:rPr>
        <w:t>евросоюз израиль экономика политика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2.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финансовое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партнерство.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Целью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провозглашалось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зоны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Общего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Благосостояния,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улучшение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условий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жизни,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занятости,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региональная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интеграция,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возможное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2010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свободной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зоны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Средиземноморье,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финансовая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помощь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взаимная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помощь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стран-участниц.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3.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социальных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гуманитарных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аспектах,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т.е.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контакты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гражданами,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борьба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контрабандой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наркотиков,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международными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преступлениями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коррупцией,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расизмом,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ксенофобией,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религиозным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иными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видами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нетерпения.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Был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постоянный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Евро-Средиземноморский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Барселонскому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процессу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контроля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выполнением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всех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целей,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записанных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Декларации.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Решение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организовать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Барселонский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процесс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мотивировано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стремлением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утвердить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роль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приоритеты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зоне,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расположенной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географически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близко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без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всякий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искать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США</w:t>
      </w:r>
      <w:r w:rsidRPr="005E43B1">
        <w:rPr>
          <w:sz w:val="28"/>
          <w:szCs w:val="28"/>
          <w:vertAlign w:val="superscript"/>
        </w:rPr>
        <w:t>8</w:t>
      </w:r>
      <w:r w:rsidRPr="005E43B1">
        <w:rPr>
          <w:sz w:val="28"/>
          <w:szCs w:val="28"/>
        </w:rPr>
        <w:t>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отметить,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прошедшие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европейско-средиземноморское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вообще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единственным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форумом,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где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регулярно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различных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уровнях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встречались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представители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Сирии,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администрации,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Ливана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других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арабских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государств.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можно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считать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Барселонский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процесс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крупным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успехом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внешней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без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ощутимых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успехов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арабо-израильских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проекта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Европейско-средиземноморского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будет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шансов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реализацию.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результатом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Барселонской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конференции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подписание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«Ассоциативного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Брюсселе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ноября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является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взаимоотношений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двух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рамках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появился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шанс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улучшить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статус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особенно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технологий.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преамбуле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подчеркивается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принципов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Устава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ООН,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особенности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соблюдение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человека,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демократических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принципов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свободы;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укрепить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стабильность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помощью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региональной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кооперации;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регулярный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диалог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двустороннем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международном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контекстах;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поддерживать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диалог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научным,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технологическим,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культурным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социальным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вопросам.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Уважение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человека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демократических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принципов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является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внутренней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внешней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составляет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позитивный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элемент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просьбе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преамбуле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содержится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совместное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заявление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важности,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придают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борьбе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ксенофобией,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антисемитизмом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расизмом.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Основной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текст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содержит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положения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регулярном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(ежегодном)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диалоге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министерском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парламентском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уровне.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провозглашается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свободная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производственными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товарами,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прогрессивная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взаимная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либерализация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продукцией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сельского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хозяйства.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Принципиально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элементом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положение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либерализации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рынка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услуг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капиталов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организаций.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Остальная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часть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текста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предусматривает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проведение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дальнейших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прояснения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освобождения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всех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ограничений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движения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капитала,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введения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международных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стандартов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защиты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интеллектуальной,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промышленной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коммерческой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собственности,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финансовых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услуг,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таможни,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транспорта,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туризма,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унификации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законов,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борьбы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наркотиками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отмыванием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денег.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Приветствуется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молодежного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обмена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т.д.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Провозглашается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государствами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Приоритетными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объявлены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объединение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энергосистем,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водные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ресурсы,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окружающая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среда,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коммуникации.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предусматривает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официальных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структур,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Ассоциативный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Совет,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возглавляемый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иностранных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дел,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должен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собираться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помощь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ему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создан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Ассоциативный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Комитет,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возглавляемый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генеральным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директором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Министерства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иностранных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дел.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Следует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отметить,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Барселонской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конференции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действовало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временное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страны-члены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сразу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ратифицировали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более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Ассоциативное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Франция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Бельгия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ратифицировали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окончательный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текст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2000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связано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главным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образом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политическими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причинами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недовольством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Нетаньяху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желанием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задействовать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имеющиеся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рычаги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влияния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Ассоциативное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вступило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силу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июня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2000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ратификации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парламентами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15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стран-членов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Парламентом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Кнессетом.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13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июня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2000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Ассоциативный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провел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первое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собрание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Люксембурге,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главе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иностранных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Леви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иностранных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членов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занимается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контролем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выполнением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положений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Ассоциативного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соглашения.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связана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еще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проблема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характера.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1998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произошел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спор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происхождения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товаров.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связан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фактом,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считает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территории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целым,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отличным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оккупация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территории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считается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незаконной.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означает,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может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экспортировать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через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рынки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маркой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продукты,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произведенные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территориях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поселениях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территориях.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13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1998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Комиссия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обратилась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заявлением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Парламент: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«Два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главных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препятствия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продолжают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мешать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претворению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жизнь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договора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они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касаются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экспорта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видом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продукции,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продуктов,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которые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произведены: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1.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Восточном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Иерусалиме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Голанских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высотах.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2.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Западном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Берегу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Газе,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еврейских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поселениях.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пытается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принять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выяснения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достоверности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информации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нарушениях</w:t>
      </w:r>
      <w:r w:rsidR="00FA11BF">
        <w:rPr>
          <w:sz w:val="28"/>
          <w:szCs w:val="28"/>
        </w:rPr>
        <w:t>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факты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подтвердятся,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необходимо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будет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положить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этому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конец».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Аргументация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европейцев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основана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территории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являются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продолжением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Государства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они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отдельное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целое.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Еврейские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поселения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оккупированных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территориях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незаконны,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следовательно,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экспортная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продукция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поселений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может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принята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рынках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3–4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июня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Палермо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иностранных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дел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подтвердили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установку.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отреагировало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довольно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резко,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многие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сравнивали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заявление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Комиссии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нацистским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бойкотом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еврейских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товаров.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решение,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помимо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сторон,</w:t>
      </w:r>
      <w:r w:rsidR="005E43B1">
        <w:rPr>
          <w:sz w:val="28"/>
          <w:szCs w:val="28"/>
        </w:rPr>
        <w:t xml:space="preserve"> </w:t>
      </w:r>
      <w:r w:rsidR="00FA11BF" w:rsidRPr="005E43B1">
        <w:rPr>
          <w:sz w:val="28"/>
          <w:szCs w:val="28"/>
        </w:rPr>
        <w:t>имеет,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прежде</w:t>
      </w:r>
      <w:r w:rsidR="005E43B1">
        <w:rPr>
          <w:sz w:val="28"/>
          <w:szCs w:val="28"/>
        </w:rPr>
        <w:t xml:space="preserve"> </w:t>
      </w:r>
      <w:r w:rsidR="00FA11BF" w:rsidRPr="005E43B1">
        <w:rPr>
          <w:sz w:val="28"/>
          <w:szCs w:val="28"/>
        </w:rPr>
        <w:t>всего,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значение: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напоминает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незаконности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поселений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оккупации,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подчеркивает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легитимность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палестинцев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самоопределение.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периодически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пытался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использовать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мотивы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сдерживающие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средства,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побудить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изменить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позицию.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Например,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январе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1998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Комиссия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угрожала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прервать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финансовую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помощь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палестинцам,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прекратит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блокировать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палестинскую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экономику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теракты.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(Логика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Комиссии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такова,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финансовая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помощь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палестинцам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интересах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постарался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избежать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приостановки).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практике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угроза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выполнена.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2000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французский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университет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призвал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приостановить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академические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связи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из-за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остановки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мирных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вооруженных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акций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правительства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Шарона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палестинских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территориях.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Комиссия,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Министров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поддержали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инициативу.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Тем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менее,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первой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неевропейской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страной,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присоединенной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называемым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рамочным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программам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исследований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специальный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статус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результат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развития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техники,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также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длительных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странами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присоединился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4-ой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рамочной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программе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августе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1996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1999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вступило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силу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предусматривающее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присоединение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5-ой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рамочной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программе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1999–2002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Каждая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новая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рамочная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программа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предусматривает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план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совместных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мероприятий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научно-технической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рассчитанный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определенный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срок.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1996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вступило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силу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взаимном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доступе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рынки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телекоммуникаций,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1999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подписано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лабораторной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практике,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предусматривающее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взаимное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признание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результатов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лабораторных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исследований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химических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веществ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право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получение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информации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тестируемых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препаратах.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договор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2000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вступил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силу.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образом,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можно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констатировать,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научно-технической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предоставлен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статус,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равный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статусу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члена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Европейский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Союз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1990-х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годов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остается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крупнейшим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партнером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1994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35%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экспорта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приходилось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товары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составляли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50%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продает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около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60%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своей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промышленной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технологической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продукции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2000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48,5%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ввозилось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31%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экспорта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вывозилось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образом,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доля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экономике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сильно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изменилась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период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1991–2001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гг.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Однако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цифровые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показатели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внешней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торговли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имеют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тенденцию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росту.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Подводя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итоги,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можно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сделать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вывод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трения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почти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оказывают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влияния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ними.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Важнейший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структурный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признак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асимметрия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между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политикой.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Ассоциативное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соглашение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явилось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самым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важным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шагом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взаимоотношениях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двух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рассматриваемый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период.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области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чувствует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себя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гораздо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увереннее,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чем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политическом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урегулировании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арабо-израильского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конфликта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оказании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давления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Израиль.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сторон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есть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точки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соприкосновения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научно-технической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сфере,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связаны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успехи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направлении.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рассматриваемый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период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можно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отметить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постепенное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уменьшение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взаимозависимости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отношениях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эта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тенденция,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безусловно,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позитивна.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сфере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Европейского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Союза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характерен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интерес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выгодам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научного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сотрудничества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Израилем,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перспективам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регионе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Ближнего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Востока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масштабах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Средиземноморья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целом.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хотя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идея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такой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кооперации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сегодняшний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момент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явно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несостоятельна,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Европой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были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предприняты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меры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для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того,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чтобы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представители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ближневосточных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стран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начали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встречаться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вести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переговоры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экономическим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вопросам.</w:t>
      </w:r>
    </w:p>
    <w:p w:rsidR="007E0633" w:rsidRPr="009455C8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7E0633" w:rsidRPr="005E43B1" w:rsidRDefault="007E0633" w:rsidP="005E43B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E43B1">
        <w:rPr>
          <w:sz w:val="28"/>
          <w:szCs w:val="28"/>
          <w:vertAlign w:val="superscript"/>
        </w:rPr>
        <w:br w:type="page"/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43B1">
        <w:rPr>
          <w:b/>
          <w:bCs/>
          <w:sz w:val="28"/>
          <w:szCs w:val="28"/>
        </w:rPr>
        <w:t>Список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источников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и</w:t>
      </w:r>
      <w:r w:rsidR="005E43B1">
        <w:rPr>
          <w:b/>
          <w:bCs/>
          <w:sz w:val="28"/>
          <w:szCs w:val="28"/>
        </w:rPr>
        <w:t xml:space="preserve"> </w:t>
      </w:r>
      <w:r w:rsidRPr="005E43B1">
        <w:rPr>
          <w:b/>
          <w:bCs/>
          <w:sz w:val="28"/>
          <w:szCs w:val="28"/>
        </w:rPr>
        <w:t>литературы</w:t>
      </w:r>
    </w:p>
    <w:p w:rsidR="007E0633" w:rsidRPr="005E43B1" w:rsidRDefault="007E0633" w:rsidP="005E43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0633" w:rsidRPr="005E43B1" w:rsidRDefault="007E0633" w:rsidP="00FA11BF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История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внешней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политики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М.,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2007</w:t>
      </w:r>
    </w:p>
    <w:p w:rsidR="007E0633" w:rsidRPr="005E43B1" w:rsidRDefault="007E0633" w:rsidP="00FA11BF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E43B1">
        <w:rPr>
          <w:sz w:val="28"/>
          <w:szCs w:val="28"/>
        </w:rPr>
        <w:t>Внешняя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политика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Израиля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в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современном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измерении.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–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М.,</w:t>
      </w:r>
      <w:r w:rsidR="005E43B1">
        <w:rPr>
          <w:sz w:val="28"/>
          <w:szCs w:val="28"/>
        </w:rPr>
        <w:t xml:space="preserve"> </w:t>
      </w:r>
      <w:r w:rsidRPr="005E43B1">
        <w:rPr>
          <w:sz w:val="28"/>
          <w:szCs w:val="28"/>
        </w:rPr>
        <w:t>2009</w:t>
      </w:r>
    </w:p>
    <w:p w:rsidR="007E0633" w:rsidRPr="005E43B1" w:rsidRDefault="007E0633" w:rsidP="00FA11BF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5E43B1">
        <w:rPr>
          <w:sz w:val="28"/>
          <w:szCs w:val="28"/>
          <w:lang w:val="en-US"/>
        </w:rPr>
        <w:t>Sala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I.M.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Comment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l'Europe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peut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faire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pression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sur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Israel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//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Le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Monde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Diplomatique,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1998,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№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532.</w:t>
      </w:r>
    </w:p>
    <w:p w:rsidR="007E0633" w:rsidRPr="005E43B1" w:rsidRDefault="007E0633" w:rsidP="00FA11BF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5E43B1">
        <w:rPr>
          <w:sz w:val="28"/>
          <w:szCs w:val="28"/>
          <w:lang w:val="en-US"/>
        </w:rPr>
        <w:t>Kassissieh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I.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The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European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Role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in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Jerusalem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//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Jerusalem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Quarterly,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№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11–12,</w:t>
      </w:r>
      <w:r w:rsidR="005E43B1">
        <w:rPr>
          <w:sz w:val="28"/>
          <w:szCs w:val="28"/>
          <w:lang w:val="en-US"/>
        </w:rPr>
        <w:t xml:space="preserve"> </w:t>
      </w:r>
      <w:r w:rsidRPr="005E43B1">
        <w:rPr>
          <w:sz w:val="28"/>
          <w:szCs w:val="28"/>
          <w:lang w:val="en-US"/>
        </w:rPr>
        <w:t>2001.</w:t>
      </w:r>
      <w:bookmarkStart w:id="0" w:name="_GoBack"/>
      <w:bookmarkEnd w:id="0"/>
    </w:p>
    <w:sectPr w:rsidR="007E0633" w:rsidRPr="005E43B1" w:rsidSect="005E43B1">
      <w:headerReference w:type="default" r:id="rId7"/>
      <w:footerReference w:type="even" r:id="rId8"/>
      <w:pgSz w:w="11907" w:h="16839" w:code="9"/>
      <w:pgMar w:top="1134" w:right="850" w:bottom="1134" w:left="1701" w:header="709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AA" w:rsidRDefault="00473FAA" w:rsidP="005E43B1">
      <w:r>
        <w:separator/>
      </w:r>
    </w:p>
  </w:endnote>
  <w:endnote w:type="continuationSeparator" w:id="0">
    <w:p w:rsidR="00473FAA" w:rsidRDefault="00473FAA" w:rsidP="005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B1" w:rsidRDefault="005E43B1" w:rsidP="005E43B1">
    <w:pPr>
      <w:pStyle w:val="a3"/>
      <w:framePr w:wrap="around" w:vAnchor="text" w:hAnchor="margin" w:xAlign="center" w:y="1"/>
      <w:rPr>
        <w:rStyle w:val="a5"/>
      </w:rPr>
    </w:pPr>
  </w:p>
  <w:p w:rsidR="005E43B1" w:rsidRDefault="005E43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AA" w:rsidRDefault="00473FAA" w:rsidP="005E43B1">
      <w:r>
        <w:separator/>
      </w:r>
    </w:p>
  </w:footnote>
  <w:footnote w:type="continuationSeparator" w:id="0">
    <w:p w:rsidR="00473FAA" w:rsidRDefault="00473FAA" w:rsidP="005E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B1" w:rsidRPr="005E43B1" w:rsidRDefault="005E43B1" w:rsidP="005E43B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1A"/>
    <w:multiLevelType w:val="hybridMultilevel"/>
    <w:tmpl w:val="0074E4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633"/>
    <w:rsid w:val="00020345"/>
    <w:rsid w:val="000631A2"/>
    <w:rsid w:val="00077D15"/>
    <w:rsid w:val="00086AA6"/>
    <w:rsid w:val="000A14DB"/>
    <w:rsid w:val="000B3504"/>
    <w:rsid w:val="00145B71"/>
    <w:rsid w:val="001824B8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3FAA"/>
    <w:rsid w:val="00475882"/>
    <w:rsid w:val="0047597C"/>
    <w:rsid w:val="0047781E"/>
    <w:rsid w:val="00480ACE"/>
    <w:rsid w:val="00490719"/>
    <w:rsid w:val="00491FEA"/>
    <w:rsid w:val="00492996"/>
    <w:rsid w:val="004A0235"/>
    <w:rsid w:val="004A5F1E"/>
    <w:rsid w:val="004C3DF6"/>
    <w:rsid w:val="004C43CC"/>
    <w:rsid w:val="004F13E4"/>
    <w:rsid w:val="00507929"/>
    <w:rsid w:val="005236DB"/>
    <w:rsid w:val="0058263D"/>
    <w:rsid w:val="0059166F"/>
    <w:rsid w:val="005B1F3E"/>
    <w:rsid w:val="005E43B1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E0633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5C8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31836"/>
    <w:rsid w:val="00F5296B"/>
    <w:rsid w:val="00F65EF8"/>
    <w:rsid w:val="00FA11BF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2305AB-0574-43CA-8654-21B57D5F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3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06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E063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7E0633"/>
    <w:rPr>
      <w:rFonts w:cs="Times New Roman"/>
    </w:rPr>
  </w:style>
  <w:style w:type="paragraph" w:styleId="a6">
    <w:name w:val="List Paragraph"/>
    <w:basedOn w:val="a"/>
    <w:uiPriority w:val="34"/>
    <w:qFormat/>
    <w:rsid w:val="007E063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E43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E43B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2014-03-23T11:02:00Z</dcterms:created>
  <dcterms:modified xsi:type="dcterms:W3CDTF">2014-03-23T11:02:00Z</dcterms:modified>
</cp:coreProperties>
</file>