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DB4" w:rsidRPr="00A86C5C" w:rsidRDefault="00935DB4" w:rsidP="00A86C5C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A86C5C">
        <w:rPr>
          <w:b/>
          <w:sz w:val="28"/>
          <w:szCs w:val="28"/>
        </w:rPr>
        <w:t>СОДЕРЖАНИЕ</w:t>
      </w:r>
    </w:p>
    <w:p w:rsidR="00A86C5C" w:rsidRPr="00A86C5C" w:rsidRDefault="00A86C5C" w:rsidP="00A86C5C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935DB4" w:rsidRPr="00A86C5C" w:rsidRDefault="00935DB4" w:rsidP="00A86C5C">
      <w:pPr>
        <w:pStyle w:val="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E4733F">
        <w:rPr>
          <w:rStyle w:val="a6"/>
          <w:noProof/>
          <w:color w:val="auto"/>
          <w:sz w:val="28"/>
          <w:szCs w:val="28"/>
        </w:rPr>
        <w:t>Введение</w:t>
      </w:r>
    </w:p>
    <w:p w:rsidR="00935DB4" w:rsidRPr="00A86C5C" w:rsidRDefault="00935DB4" w:rsidP="00A86C5C">
      <w:pPr>
        <w:pStyle w:val="2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E4733F">
        <w:rPr>
          <w:rStyle w:val="a6"/>
          <w:bCs/>
          <w:noProof/>
          <w:color w:val="auto"/>
          <w:sz w:val="28"/>
          <w:szCs w:val="28"/>
        </w:rPr>
        <w:t>Подкрепление в структуре учения</w:t>
      </w:r>
    </w:p>
    <w:p w:rsidR="00935DB4" w:rsidRPr="00A86C5C" w:rsidRDefault="00935DB4" w:rsidP="00A86C5C">
      <w:pPr>
        <w:pStyle w:val="2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E4733F">
        <w:rPr>
          <w:rStyle w:val="a6"/>
          <w:bCs/>
          <w:noProof/>
          <w:color w:val="auto"/>
          <w:sz w:val="28"/>
          <w:szCs w:val="28"/>
        </w:rPr>
        <w:t>Обеспечение готовности к занятиям</w:t>
      </w:r>
    </w:p>
    <w:p w:rsidR="00935DB4" w:rsidRPr="00A86C5C" w:rsidRDefault="00935DB4" w:rsidP="00A86C5C">
      <w:pPr>
        <w:pStyle w:val="2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E4733F">
        <w:rPr>
          <w:rStyle w:val="a6"/>
          <w:bCs/>
          <w:noProof/>
          <w:color w:val="auto"/>
          <w:sz w:val="28"/>
          <w:szCs w:val="28"/>
        </w:rPr>
        <w:t>Прогнозирование готовности к школе</w:t>
      </w:r>
    </w:p>
    <w:p w:rsidR="00935DB4" w:rsidRPr="00A86C5C" w:rsidRDefault="00935DB4" w:rsidP="00A86C5C">
      <w:pPr>
        <w:pStyle w:val="2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E4733F">
        <w:rPr>
          <w:rStyle w:val="a6"/>
          <w:bCs/>
          <w:noProof/>
          <w:color w:val="auto"/>
          <w:sz w:val="28"/>
          <w:szCs w:val="28"/>
        </w:rPr>
        <w:t>Тенденции в подростковом развитии</w:t>
      </w:r>
    </w:p>
    <w:p w:rsidR="00935DB4" w:rsidRPr="00A86C5C" w:rsidRDefault="00935DB4" w:rsidP="00A86C5C">
      <w:pPr>
        <w:pStyle w:val="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E4733F">
        <w:rPr>
          <w:rStyle w:val="a6"/>
          <w:noProof/>
          <w:color w:val="auto"/>
          <w:sz w:val="28"/>
          <w:szCs w:val="28"/>
        </w:rPr>
        <w:t>Заключение</w:t>
      </w:r>
    </w:p>
    <w:p w:rsidR="00935DB4" w:rsidRPr="00A86C5C" w:rsidRDefault="00935DB4" w:rsidP="00A86C5C">
      <w:pPr>
        <w:pStyle w:val="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E4733F">
        <w:rPr>
          <w:rStyle w:val="a6"/>
          <w:bCs/>
          <w:noProof/>
          <w:color w:val="auto"/>
          <w:sz w:val="28"/>
          <w:szCs w:val="28"/>
        </w:rPr>
        <w:t>Список литературы</w:t>
      </w:r>
    </w:p>
    <w:p w:rsidR="00992854" w:rsidRDefault="00A86C5C" w:rsidP="00A86C5C">
      <w:pPr>
        <w:spacing w:line="360" w:lineRule="auto"/>
        <w:jc w:val="center"/>
        <w:rPr>
          <w:b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bookmarkStart w:id="0" w:name="_Toc261267823"/>
      <w:r w:rsidRPr="00A86C5C">
        <w:rPr>
          <w:b/>
          <w:sz w:val="28"/>
          <w:szCs w:val="28"/>
        </w:rPr>
        <w:t>ВВЕДЕНИЕ</w:t>
      </w:r>
      <w:bookmarkEnd w:id="0"/>
    </w:p>
    <w:p w:rsidR="00A86C5C" w:rsidRPr="00A86C5C" w:rsidRDefault="00A86C5C" w:rsidP="00A86C5C">
      <w:pPr>
        <w:spacing w:line="360" w:lineRule="auto"/>
        <w:jc w:val="both"/>
        <w:rPr>
          <w:b/>
          <w:sz w:val="28"/>
          <w:szCs w:val="28"/>
          <w:lang w:val="en-US"/>
        </w:rPr>
      </w:pPr>
    </w:p>
    <w:p w:rsidR="00935DB4" w:rsidRPr="00A86C5C" w:rsidRDefault="00935DB4" w:rsidP="00A86C5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86C5C">
        <w:rPr>
          <w:color w:val="auto"/>
          <w:sz w:val="28"/>
          <w:szCs w:val="28"/>
        </w:rPr>
        <w:t xml:space="preserve">Тема готовности к школе не является новой в научных публикациях и в практике дошкольного образования. В настоящее время существует множество разнообразных программ, призванных подготовить детей к школе. Однако эта проблема остается весьма актуальной. Так, результаты международной системы оценки качества образования PISA показывают разницу в результатах российских школьников и их сверстников из других стран. Как правило (для международной выборки) участие ребенка в программах дошкольного образования повышает качество образовательных результатов в целом. </w:t>
      </w:r>
    </w:p>
    <w:p w:rsidR="00DC19EE" w:rsidRPr="00A86C5C" w:rsidRDefault="00A86C5C" w:rsidP="00A86C5C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bookmarkStart w:id="1" w:name="_Toc261267824"/>
      <w:r w:rsidRPr="00A86C5C">
        <w:rPr>
          <w:b/>
          <w:bCs/>
          <w:sz w:val="28"/>
          <w:szCs w:val="28"/>
        </w:rPr>
        <w:t>ПОДКРЕПЛЕНИЕ В СТРУКТУРЕ УЧЕНИЯ</w:t>
      </w:r>
      <w:bookmarkEnd w:id="1"/>
    </w:p>
    <w:p w:rsidR="00A86C5C" w:rsidRDefault="00A86C5C" w:rsidP="00A86C5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35DB4" w:rsidRPr="00A86C5C" w:rsidRDefault="00935DB4" w:rsidP="00A86C5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6C5C">
        <w:rPr>
          <w:sz w:val="28"/>
          <w:szCs w:val="28"/>
        </w:rPr>
        <w:t xml:space="preserve">В своей работе мы задаемся вопросом о психолого-педагогических условиях и механизмах ситуативного развития готовности учащегося к занятиям. Ситуативное развертывание готовности, с которой связано включение учащегося в занятие, представляет собой сложный процесс, имеющий специфическое содержание. Он предполагает мобилизацию всех подсистем деятеля, настройку как на предстоящую учебную деятельность вообще, так и на ближайший ее компонент. При актуализации ранее приобретенных мотивов в ходе занятия устанавливаются смысловые отношения имеющейся мотивации с учебными задачами, вынесенными на данное занятие. </w:t>
      </w:r>
    </w:p>
    <w:p w:rsidR="00DC19EE" w:rsidRPr="00A86C5C" w:rsidRDefault="00DC19EE" w:rsidP="00A86C5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6C5C">
        <w:rPr>
          <w:sz w:val="28"/>
          <w:szCs w:val="28"/>
        </w:rPr>
        <w:t xml:space="preserve">Проблема подкрепления назрела, т.к. развитие деятельностной теории учения должно дать ответ о путях формирования у учащегося самостоятельности выполнения необходимых видов деятельности и готовности к их осуществлению. Для анализа отработки по характеристике самостоятельности особое значение приобретает проблема подкрепления. Зачастую в психологии не придается должного значения этой проблеме, однако есть основания считать, что оно необходимо в большинстве ситуаций приобретения опыта, в том числе и в ситуациях учения. </w:t>
      </w:r>
    </w:p>
    <w:p w:rsidR="00DC19EE" w:rsidRPr="00A86C5C" w:rsidRDefault="00DC19EE" w:rsidP="00A86C5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6C5C">
        <w:rPr>
          <w:sz w:val="28"/>
          <w:szCs w:val="28"/>
        </w:rPr>
        <w:t xml:space="preserve">Обычно понятие «подкрепление» связывают только с бихевиоризмом, но данная позиция ошибочна. О подкреплении говорил еще Аристотель. О значимости подкрепления свидетельствуют многие: древние мыслители, современные зарубежные и отечественные исследователи. Его рассматривали И.П. Павлов, А.Р. Лурия, П.К. Анохин. Понятие подкрепления использовалось и в собственно психологических исследованиях (А.Н. Леонтьев, С.Л. Рубинштейн, Ю.Б. Гиппенрейтер, П.Я. Гальперин, Н.Ф. Талызина и др.). В ряде случаев оно стало предметом детального анализа (Д.В. Колесов, Н.Н. Данилова, В. Ромек, Р.М. Грановская, Л.М. Фридман, Б.В. Кулагина и др.). </w:t>
      </w:r>
    </w:p>
    <w:p w:rsidR="00DC19EE" w:rsidRPr="00A86C5C" w:rsidRDefault="00DC19EE" w:rsidP="00A86C5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6C5C">
        <w:rPr>
          <w:sz w:val="28"/>
          <w:szCs w:val="28"/>
        </w:rPr>
        <w:t xml:space="preserve">Слово «подкрепление» широко используется, однако за ним не стоит достаточно четкое определение этого явления. Как правило, подкрепление как процесс «сливается» с подкрепляющим агентом (ср.: Р. Комер, С.Ю. Головин, R. Frager, J. Fadiman). Для преодоления данного несоответствия необходимо в частности использовать в качестве единицы анализа целостную деятельность, т.е. такую деятельность, которая содержит также конечное звено, в котором удовлетворяется исходная потребность. </w:t>
      </w:r>
    </w:p>
    <w:p w:rsidR="00DC19EE" w:rsidRPr="00A86C5C" w:rsidRDefault="00DC19EE" w:rsidP="00A86C5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6C5C">
        <w:rPr>
          <w:sz w:val="28"/>
          <w:szCs w:val="28"/>
        </w:rPr>
        <w:t xml:space="preserve">Данное структурирование деятельности методологически оправдывается системным подходом: акцент смещается на изменения в самом деятеле. Это согласуется с предложенным А.Н. Леонтьевым определением понятия деятельности как «молярной, не аддитивной единицы жизни телесного, материального субъекта» и соответствует тому значению, которое он придавал психологическому исследованию </w:t>
      </w:r>
      <w:r w:rsidRPr="00A86C5C">
        <w:rPr>
          <w:iCs/>
          <w:sz w:val="28"/>
          <w:szCs w:val="28"/>
        </w:rPr>
        <w:t xml:space="preserve">внешней </w:t>
      </w:r>
      <w:r w:rsidRPr="00A86C5C">
        <w:rPr>
          <w:sz w:val="28"/>
          <w:szCs w:val="28"/>
        </w:rPr>
        <w:t xml:space="preserve">деятельности человека - именно она реализует его жизнь. </w:t>
      </w:r>
    </w:p>
    <w:p w:rsidR="00DC19EE" w:rsidRPr="00A86C5C" w:rsidRDefault="00DC19EE" w:rsidP="00A86C5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6C5C">
        <w:rPr>
          <w:sz w:val="28"/>
          <w:szCs w:val="28"/>
        </w:rPr>
        <w:t xml:space="preserve">Чрезвычайный интерес представляют данные о </w:t>
      </w:r>
      <w:r w:rsidRPr="00A86C5C">
        <w:rPr>
          <w:iCs/>
          <w:sz w:val="28"/>
          <w:szCs w:val="28"/>
        </w:rPr>
        <w:t xml:space="preserve">физиологических механизмах </w:t>
      </w:r>
      <w:r w:rsidRPr="00A86C5C">
        <w:rPr>
          <w:sz w:val="28"/>
          <w:szCs w:val="28"/>
        </w:rPr>
        <w:t xml:space="preserve">подкрепления (Н.Н. Данилова, Л.Л. Воронин, Е.Н. Соколов, Х. Матисс и др.). Они позволяют заключить, что явление подкрепления предполагает процесс, результатом которого является формирование у индивида функционального мозгового органа, который в будущем должен реализовать подобную деятельность. </w:t>
      </w:r>
    </w:p>
    <w:p w:rsidR="00DC19EE" w:rsidRPr="00A86C5C" w:rsidRDefault="00DC19EE" w:rsidP="00A86C5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6C5C">
        <w:rPr>
          <w:sz w:val="28"/>
          <w:szCs w:val="28"/>
        </w:rPr>
        <w:t xml:space="preserve">В нашем исследовании, проводимом на базе системного и деятельностного подходов, мы используем понятие подкрепления, в котором конкретизируются его функции и учитываются процессы, происходящие </w:t>
      </w:r>
      <w:r w:rsidRPr="00A86C5C">
        <w:rPr>
          <w:iCs/>
          <w:sz w:val="28"/>
          <w:szCs w:val="28"/>
        </w:rPr>
        <w:t xml:space="preserve">на всех уровнях </w:t>
      </w:r>
      <w:r w:rsidRPr="00A86C5C">
        <w:rPr>
          <w:sz w:val="28"/>
          <w:szCs w:val="28"/>
        </w:rPr>
        <w:t xml:space="preserve">– при взаимодействии субъекта с миром, на психическом и физиологическом уровнях. </w:t>
      </w:r>
    </w:p>
    <w:p w:rsidR="00DC19EE" w:rsidRPr="00A86C5C" w:rsidRDefault="00DC19EE" w:rsidP="00A86C5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6C5C">
        <w:rPr>
          <w:iCs/>
          <w:sz w:val="28"/>
          <w:szCs w:val="28"/>
        </w:rPr>
        <w:t xml:space="preserve">Подкрепление </w:t>
      </w:r>
      <w:r w:rsidRPr="00A86C5C">
        <w:rPr>
          <w:sz w:val="28"/>
          <w:szCs w:val="28"/>
        </w:rPr>
        <w:t xml:space="preserve">– это закономерность становления </w:t>
      </w:r>
      <w:r w:rsidRPr="00A86C5C">
        <w:rPr>
          <w:bCs/>
          <w:iCs/>
          <w:sz w:val="28"/>
          <w:szCs w:val="28"/>
        </w:rPr>
        <w:t xml:space="preserve">самостоятельности </w:t>
      </w:r>
      <w:r w:rsidRPr="00A86C5C">
        <w:rPr>
          <w:sz w:val="28"/>
          <w:szCs w:val="28"/>
        </w:rPr>
        <w:t xml:space="preserve">деятельностного акта, предполагающая следующую цепь событий: выполнение данного акта в составе соответствующей деятельности; выполнение прочих ее актов, необходимых для получения желаемого продукта; удовлетворение посредством него исходной потребности, сопровождающееся возникновением положительных эмоций; сопутствующие следовые процессы в итоге и ведут к формированию функционального мозгового органа данного акта и включающей его деятельности. Он будет обеспечивать их выполнение при актуализации у деятеля данной потребности и возникновении подобной ситуации. </w:t>
      </w:r>
    </w:p>
    <w:p w:rsidR="00DC19EE" w:rsidRPr="00A86C5C" w:rsidRDefault="00DC19EE" w:rsidP="00A86C5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6C5C">
        <w:rPr>
          <w:sz w:val="28"/>
          <w:szCs w:val="28"/>
        </w:rPr>
        <w:t xml:space="preserve">Что касается </w:t>
      </w:r>
      <w:r w:rsidRPr="00A86C5C">
        <w:rPr>
          <w:iCs/>
          <w:sz w:val="28"/>
          <w:szCs w:val="28"/>
        </w:rPr>
        <w:t>учения</w:t>
      </w:r>
      <w:r w:rsidRPr="00A86C5C">
        <w:rPr>
          <w:sz w:val="28"/>
          <w:szCs w:val="28"/>
        </w:rPr>
        <w:t xml:space="preserve">, то до сих пор молчаливо предполагалось, что в учении необходимость подкрепления «снимается» при обеспечении учащихся полноценной ориентировкой. Однако хотя ориентировка предваряет учение и пронизывает каждый его акт, она неспецифична для него и не может заменить собой других условий учения. Подкрепление характеризует исключительно процессы приобретения опыта и выполняет </w:t>
      </w:r>
      <w:r w:rsidRPr="00A86C5C">
        <w:rPr>
          <w:iCs/>
          <w:sz w:val="28"/>
          <w:szCs w:val="28"/>
        </w:rPr>
        <w:t xml:space="preserve">другую </w:t>
      </w:r>
      <w:r w:rsidRPr="00A86C5C">
        <w:rPr>
          <w:sz w:val="28"/>
          <w:szCs w:val="28"/>
        </w:rPr>
        <w:t xml:space="preserve">функцию. Подкрепление также не может отождествляться с обратной связью. </w:t>
      </w:r>
    </w:p>
    <w:p w:rsidR="00DC19EE" w:rsidRPr="00A86C5C" w:rsidRDefault="00DC19EE" w:rsidP="00A86C5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6C5C">
        <w:rPr>
          <w:sz w:val="28"/>
          <w:szCs w:val="28"/>
        </w:rPr>
        <w:t xml:space="preserve">Однако обратная связь реально участвует в процессах подкрепления. Апробация опыта на практике выявляет меру его ценности для деятеля, определяя, будет ли он использоваться в дальнейшем. В самом же ходе учения учащийся не имеет возможности применять продукт усваиваемого действия в реальной «деловой» деятельности. Вместе с тем он может делать это мысленно, с помощью обучающего. Это, однако, нуждается в специальной организации тех или иных воздействий на учащегося. </w:t>
      </w:r>
    </w:p>
    <w:p w:rsidR="00DC19EE" w:rsidRPr="00A86C5C" w:rsidRDefault="00DC19EE" w:rsidP="00A86C5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C19EE" w:rsidRPr="00A86C5C" w:rsidRDefault="00A86C5C" w:rsidP="00A86C5C">
      <w:pPr>
        <w:autoSpaceDE w:val="0"/>
        <w:autoSpaceDN w:val="0"/>
        <w:adjustRightInd w:val="0"/>
        <w:spacing w:line="360" w:lineRule="auto"/>
        <w:ind w:firstLine="709"/>
        <w:jc w:val="center"/>
        <w:outlineLvl w:val="1"/>
        <w:rPr>
          <w:sz w:val="28"/>
          <w:szCs w:val="28"/>
        </w:rPr>
      </w:pPr>
      <w:bookmarkStart w:id="2" w:name="_Toc261267825"/>
      <w:r w:rsidRPr="00A86C5C">
        <w:rPr>
          <w:b/>
          <w:bCs/>
          <w:sz w:val="28"/>
          <w:szCs w:val="28"/>
        </w:rPr>
        <w:t>ОБЕСПЕЧЕНИЕ ГОТОВНОСТИ К ЗАНЯТИЯМ</w:t>
      </w:r>
      <w:bookmarkEnd w:id="2"/>
    </w:p>
    <w:p w:rsidR="00A86C5C" w:rsidRDefault="00A86C5C" w:rsidP="00A86C5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C19EE" w:rsidRPr="00A86C5C" w:rsidRDefault="00DC19EE" w:rsidP="00A86C5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6C5C">
        <w:rPr>
          <w:sz w:val="28"/>
          <w:szCs w:val="28"/>
        </w:rPr>
        <w:t xml:space="preserve">Собственно же формирование мотивации не может производиться непосредственно перед занятием – оно совмещается с формированием умения учиться в составе долговременной готовности к учению. В начале же занятия используются уже имеющиеся мотивы. При этом ситуативное развертывание мотивации предполагает мобилизацию </w:t>
      </w:r>
      <w:r w:rsidRPr="00A86C5C">
        <w:rPr>
          <w:iCs/>
          <w:sz w:val="28"/>
          <w:szCs w:val="28"/>
        </w:rPr>
        <w:t>всех подсистем деятеля</w:t>
      </w:r>
      <w:r w:rsidRPr="00A86C5C">
        <w:rPr>
          <w:sz w:val="28"/>
          <w:szCs w:val="28"/>
        </w:rPr>
        <w:t xml:space="preserve">, настройку как на предстоящую учебную деятельность вообще, так и на ближайший ее компонент. </w:t>
      </w:r>
    </w:p>
    <w:p w:rsidR="00DC19EE" w:rsidRPr="00A86C5C" w:rsidRDefault="00DC19EE" w:rsidP="00A86C5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6C5C">
        <w:rPr>
          <w:sz w:val="28"/>
          <w:szCs w:val="28"/>
        </w:rPr>
        <w:t xml:space="preserve">Никакая деятельность не начинается «с пустого места» (А.С. Прангишвили) – учение не может быть исключением. Готовность к деятельности – это предпосылка и условие возникновения учения, обеспечивающая стабильность ее процесса и продуктивность. </w:t>
      </w:r>
    </w:p>
    <w:p w:rsidR="00DC19EE" w:rsidRPr="00A86C5C" w:rsidRDefault="00DC19EE" w:rsidP="00A86C5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6C5C">
        <w:rPr>
          <w:sz w:val="28"/>
          <w:szCs w:val="28"/>
        </w:rPr>
        <w:t xml:space="preserve">Обеспечению </w:t>
      </w:r>
      <w:r w:rsidRPr="00A86C5C">
        <w:rPr>
          <w:iCs/>
          <w:sz w:val="28"/>
          <w:szCs w:val="28"/>
        </w:rPr>
        <w:t xml:space="preserve">готовности учащегося к школе </w:t>
      </w:r>
      <w:r w:rsidRPr="00A86C5C">
        <w:rPr>
          <w:sz w:val="28"/>
          <w:szCs w:val="28"/>
        </w:rPr>
        <w:t xml:space="preserve">посвящено много исследований, однако до сих пор не изучены механизмы становления полноценной готовности учащегося непосредственно к предстоящим занятиям. Наше исследование, проводимое с использованием методологии системного и деятельностного подхода, должно выявить эти механизмы. К настоящему времени имеются реальные возможности разработки данной проблемы. При этом особое эвристическое значение имеет использование модели структуры человеческой деятельности вообще и структуры учебной деятельности в частности. </w:t>
      </w:r>
    </w:p>
    <w:p w:rsidR="00DC19EE" w:rsidRPr="00A86C5C" w:rsidRDefault="00DC19EE" w:rsidP="00A86C5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6C5C">
        <w:rPr>
          <w:sz w:val="28"/>
          <w:szCs w:val="28"/>
        </w:rPr>
        <w:t xml:space="preserve">Мы провели теоретический анализ основных психолого-педагогических работ, который подтвердил неразработанность данной проблемы. </w:t>
      </w:r>
    </w:p>
    <w:p w:rsidR="00DC19EE" w:rsidRPr="00A86C5C" w:rsidRDefault="00DC19EE" w:rsidP="00A86C5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6C5C">
        <w:rPr>
          <w:iCs/>
          <w:sz w:val="28"/>
          <w:szCs w:val="28"/>
        </w:rPr>
        <w:t xml:space="preserve">Готовность к деятельности вообще </w:t>
      </w:r>
      <w:r w:rsidRPr="00A86C5C">
        <w:rPr>
          <w:sz w:val="28"/>
          <w:szCs w:val="28"/>
        </w:rPr>
        <w:t xml:space="preserve">рассматривается в основном с точки зрения обеспечения ее </w:t>
      </w:r>
      <w:r w:rsidRPr="00A86C5C">
        <w:rPr>
          <w:iCs/>
          <w:sz w:val="28"/>
          <w:szCs w:val="28"/>
        </w:rPr>
        <w:t xml:space="preserve">эффективности. </w:t>
      </w:r>
      <w:r w:rsidRPr="00A86C5C">
        <w:rPr>
          <w:sz w:val="28"/>
          <w:szCs w:val="28"/>
        </w:rPr>
        <w:t xml:space="preserve">При ее исследовании используются различные понятия, однако большинство авторов (Н.Д.Левитов, А.С. Нерсесян, В.Н. Пушкин, Л.А. Кандыбович, М.И. Дьяченко) выделяют две ее формы – ситуативную и долговременную. </w:t>
      </w:r>
    </w:p>
    <w:p w:rsidR="00DC19EE" w:rsidRPr="00A86C5C" w:rsidRDefault="00DC19EE" w:rsidP="00A86C5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6C5C">
        <w:rPr>
          <w:sz w:val="28"/>
          <w:szCs w:val="28"/>
        </w:rPr>
        <w:t xml:space="preserve">Мы понимаем долговременную готовность как относительно устойчивые свойства, характеристики, качества человека, обусловливающие возможность включения его в деятельность и ее успешное выполнение; кратковременную же готовность – как состояние психофизиологической сферы человека, предшествующее деятельности и определяющее возможность ее возникновения и ее успешность. Мы также используем понятие </w:t>
      </w:r>
      <w:r w:rsidRPr="00A86C5C">
        <w:rPr>
          <w:iCs/>
          <w:sz w:val="28"/>
          <w:szCs w:val="28"/>
        </w:rPr>
        <w:t>установки</w:t>
      </w:r>
      <w:r w:rsidRPr="00A86C5C">
        <w:rPr>
          <w:sz w:val="28"/>
          <w:szCs w:val="28"/>
        </w:rPr>
        <w:t xml:space="preserve">. Согласно Д.Н. Узнадзе, это особое целостное динамическое состояние субъекта, готовность, обусловливаемая актуальной потребностью субъекта и адекватной объективной ситуацией. Это состояние предшествует деятельности и объединяет в себе все необходимые условия ее возникновения, протекания и завершения. </w:t>
      </w:r>
    </w:p>
    <w:p w:rsidR="00DC19EE" w:rsidRPr="00A86C5C" w:rsidRDefault="00DC19EE" w:rsidP="00A86C5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6C5C">
        <w:rPr>
          <w:sz w:val="28"/>
          <w:szCs w:val="28"/>
        </w:rPr>
        <w:t xml:space="preserve">Вопросы кратковременной </w:t>
      </w:r>
      <w:r w:rsidRPr="00A86C5C">
        <w:rPr>
          <w:iCs/>
          <w:sz w:val="28"/>
          <w:szCs w:val="28"/>
        </w:rPr>
        <w:t xml:space="preserve">готовности к учебным занятиям </w:t>
      </w:r>
      <w:r w:rsidRPr="00A86C5C">
        <w:rPr>
          <w:sz w:val="28"/>
          <w:szCs w:val="28"/>
        </w:rPr>
        <w:t xml:space="preserve">затрагивались многими авторами. С.Л. Рубинштейн указывал, что учащийся должен по-настоящему </w:t>
      </w:r>
      <w:r w:rsidRPr="00A86C5C">
        <w:rPr>
          <w:iCs/>
          <w:sz w:val="28"/>
          <w:szCs w:val="28"/>
        </w:rPr>
        <w:t>включиться в работу</w:t>
      </w:r>
      <w:r w:rsidRPr="00A86C5C">
        <w:rPr>
          <w:sz w:val="28"/>
          <w:szCs w:val="28"/>
        </w:rPr>
        <w:t xml:space="preserve">. А.К. Маркова подчеркивает, что учебная деятельность полноценно развертывается по </w:t>
      </w:r>
      <w:r w:rsidRPr="00A86C5C">
        <w:rPr>
          <w:iCs/>
          <w:sz w:val="28"/>
          <w:szCs w:val="28"/>
        </w:rPr>
        <w:t xml:space="preserve">достижении готовности </w:t>
      </w:r>
      <w:r w:rsidRPr="00A86C5C">
        <w:rPr>
          <w:sz w:val="28"/>
          <w:szCs w:val="28"/>
        </w:rPr>
        <w:t xml:space="preserve">к включению в нее, на основе использования «старых» мотивов. По М.В. Матюхиной, фактором внутренней подготовленности ученика к занятиям является </w:t>
      </w:r>
      <w:r w:rsidRPr="00A86C5C">
        <w:rPr>
          <w:iCs/>
          <w:sz w:val="28"/>
          <w:szCs w:val="28"/>
        </w:rPr>
        <w:t>намерение</w:t>
      </w:r>
      <w:r w:rsidRPr="00A86C5C">
        <w:rPr>
          <w:sz w:val="28"/>
          <w:szCs w:val="28"/>
        </w:rPr>
        <w:t xml:space="preserve">. Т.В. Габай рассматривает состояние готовности учащегося к занятиям как </w:t>
      </w:r>
      <w:r w:rsidRPr="00A86C5C">
        <w:rPr>
          <w:iCs/>
          <w:sz w:val="28"/>
          <w:szCs w:val="28"/>
        </w:rPr>
        <w:t>продукт ориентировочных компонентов актов собственно учения</w:t>
      </w:r>
      <w:r w:rsidRPr="00A86C5C">
        <w:rPr>
          <w:sz w:val="28"/>
          <w:szCs w:val="28"/>
        </w:rPr>
        <w:t xml:space="preserve">. </w:t>
      </w:r>
    </w:p>
    <w:p w:rsidR="00935DB4" w:rsidRPr="00A86C5C" w:rsidRDefault="00935DB4" w:rsidP="00A86C5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86C5C">
        <w:rPr>
          <w:color w:val="auto"/>
          <w:sz w:val="28"/>
          <w:szCs w:val="28"/>
        </w:rPr>
        <w:t xml:space="preserve">Диагностика школьников проводилась с целью проверки гипотезы о взаимосвязи состояния основных психических процессов и академической успеваемости. Для этого планируется определить корреляционную связь средней оценки учащихся, которая вычисляется по школьному журналу, и данных о психических процессах, полученных по результатам тестирования. </w:t>
      </w:r>
    </w:p>
    <w:p w:rsidR="00DC19EE" w:rsidRPr="00A86C5C" w:rsidRDefault="00DC19EE" w:rsidP="00A86C5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6C5C">
        <w:rPr>
          <w:sz w:val="28"/>
          <w:szCs w:val="28"/>
        </w:rPr>
        <w:t xml:space="preserve">Такая организация начального звена усвоения должна обеспечить создание ситуативной готовности к нему, что положительно отразится на его ходе и результатах. </w:t>
      </w:r>
    </w:p>
    <w:p w:rsidR="00DC19EE" w:rsidRPr="00A86C5C" w:rsidRDefault="00DC19EE" w:rsidP="00A86C5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C19EE" w:rsidRPr="00A86C5C" w:rsidRDefault="00A86C5C" w:rsidP="00A86C5C">
      <w:pPr>
        <w:pStyle w:val="Default"/>
        <w:spacing w:line="360" w:lineRule="auto"/>
        <w:ind w:firstLine="709"/>
        <w:jc w:val="center"/>
        <w:outlineLvl w:val="1"/>
        <w:rPr>
          <w:color w:val="auto"/>
          <w:sz w:val="28"/>
          <w:szCs w:val="28"/>
        </w:rPr>
      </w:pPr>
      <w:bookmarkStart w:id="3" w:name="_Toc261267826"/>
      <w:r w:rsidRPr="00A86C5C">
        <w:rPr>
          <w:b/>
          <w:bCs/>
          <w:color w:val="auto"/>
          <w:sz w:val="28"/>
          <w:szCs w:val="28"/>
        </w:rPr>
        <w:t>ПРОГНОЗИРОВАНИЕ ГОТОВНОСТИ К ШКОЛЕ</w:t>
      </w:r>
      <w:bookmarkEnd w:id="3"/>
    </w:p>
    <w:p w:rsidR="00A86C5C" w:rsidRDefault="00A86C5C" w:rsidP="00A86C5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:rsidR="00DC19EE" w:rsidRPr="00A86C5C" w:rsidRDefault="00DC19EE" w:rsidP="00A86C5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86C5C">
        <w:rPr>
          <w:color w:val="auto"/>
          <w:sz w:val="28"/>
          <w:szCs w:val="28"/>
        </w:rPr>
        <w:t xml:space="preserve">При этом имеет место прямое соотношение: чем больше время дошкольного образования, тем лучше результаты. В России ситуация иная. Было выявлено, что дети, которые посещали детские сады менее одного года, показывают худшие образовательные результаты по сравнению с теми, кто не посещал сад вовсе. «Посещение детского сада более одного года дает преимущество, но весьма небольшое на фоне результатов других стран»11. Этот факт свидетельствует о необходимости дополнительных исследований в области готовности к школе. </w:t>
      </w:r>
    </w:p>
    <w:p w:rsidR="00992854" w:rsidRPr="00A86C5C" w:rsidRDefault="00DC19EE" w:rsidP="00A86C5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86C5C">
        <w:rPr>
          <w:color w:val="auto"/>
          <w:sz w:val="28"/>
          <w:szCs w:val="28"/>
        </w:rPr>
        <w:t xml:space="preserve">Для эмпирического исследования названной проблемы нами была выбрана методика «Контроль зрительной памяти» М.Б. Зыкова, основанная на использовании кодирования функций алгебры логики. Такой выбор был сделан по нескольким причинам. </w:t>
      </w:r>
    </w:p>
    <w:p w:rsidR="00992854" w:rsidRPr="00A86C5C" w:rsidRDefault="00DC19EE" w:rsidP="00A86C5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86C5C">
        <w:rPr>
          <w:color w:val="auto"/>
          <w:sz w:val="28"/>
          <w:szCs w:val="28"/>
        </w:rPr>
        <w:t xml:space="preserve">Во-первых, данная методика требует относительно небольших затрат времени на проведение диагностики, что важно в условиях полевого исследования. </w:t>
      </w:r>
    </w:p>
    <w:p w:rsidR="00992854" w:rsidRPr="00A86C5C" w:rsidRDefault="00DC19EE" w:rsidP="00A86C5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86C5C">
        <w:rPr>
          <w:color w:val="auto"/>
          <w:sz w:val="28"/>
          <w:szCs w:val="28"/>
        </w:rPr>
        <w:t xml:space="preserve">Во-вторых, она дает возможность оценки целого ряда параметров. Несмотря на то, что номинально методика призвана измерять зрительную память, реально она позволяет диагностировать состояние четырех основных психических процессов – памяти, внимания, мышления, воображения. </w:t>
      </w:r>
    </w:p>
    <w:p w:rsidR="00992854" w:rsidRPr="00A86C5C" w:rsidRDefault="00DC19EE" w:rsidP="00A86C5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86C5C">
        <w:rPr>
          <w:color w:val="auto"/>
          <w:sz w:val="28"/>
          <w:szCs w:val="28"/>
        </w:rPr>
        <w:t xml:space="preserve">В-третьих, данная методика не является столь распространенной в популярной и профессиональной психолого-педагогической литературе и практике, как например, корректурная проба или доски Сегена, а значит, для большинства испытуемых это будет новым, незнакомым заданием. </w:t>
      </w:r>
    </w:p>
    <w:p w:rsidR="00DC19EE" w:rsidRPr="00A86C5C" w:rsidRDefault="00DC19EE" w:rsidP="00A86C5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86C5C">
        <w:rPr>
          <w:color w:val="auto"/>
          <w:sz w:val="28"/>
          <w:szCs w:val="28"/>
        </w:rPr>
        <w:t xml:space="preserve">В-четвертых, методика может проводиться как индивидуально, так и в группе, что в случае с дошкольниками позволяет оценить готовность к фронтальной работе в классе. В-пятых, результаты представлены количественно, следовательно, появляется возможность их обработки с помощью математических методов. И последняя, но не менее значимая, причина – позитивное отношение испытуемых. Как правило, методика вызывает интерес у людей самых разных возрастов, в том числе и у дошкольников. </w:t>
      </w:r>
    </w:p>
    <w:p w:rsidR="00992854" w:rsidRPr="00A86C5C" w:rsidRDefault="00DC19EE" w:rsidP="00A86C5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86C5C">
        <w:rPr>
          <w:color w:val="auto"/>
          <w:sz w:val="28"/>
          <w:szCs w:val="28"/>
        </w:rPr>
        <w:t xml:space="preserve">Ниже приводится краткое описание методики «Контроль зрительной памяти»12. Диагностический инструментарий представляет собой набор плоских рисунков, состоящих из шестнадцати черных и белых квадратов, расположенных в различном порядке в квадратах 4х4, а также бланков для заполнения, содержащих необходимое количество белых квадратов 4х4. Формально эти рисунки можно считать разверткой на плоскости последовательностей из нулей (белые квадраты) и единиц (черные квадраты). </w:t>
      </w:r>
    </w:p>
    <w:p w:rsidR="00DC19EE" w:rsidRPr="00A86C5C" w:rsidRDefault="00DC19EE" w:rsidP="00A86C5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86C5C">
        <w:rPr>
          <w:color w:val="auto"/>
          <w:sz w:val="28"/>
          <w:szCs w:val="28"/>
        </w:rPr>
        <w:t xml:space="preserve">Рисунки имеют пять уровней сложности в соответствии с уровнем сложности алгебраических функций, которые они наглядно представляют. Классическая процедура диагностики состоит в последовательном предъявлении испытуемым карточек с рисунками. При этом испытуемым ставится задача запомнить рисунки, а затем воспроизвести их на бланке. Время экспозиции определяется и фиксируется исследователем в зависимости от конкретных задач, стоящих перед ним. </w:t>
      </w:r>
    </w:p>
    <w:p w:rsidR="00DC19EE" w:rsidRPr="00A86C5C" w:rsidRDefault="00DC19EE" w:rsidP="00A86C5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86C5C">
        <w:rPr>
          <w:color w:val="auto"/>
          <w:sz w:val="28"/>
          <w:szCs w:val="28"/>
        </w:rPr>
        <w:t xml:space="preserve">Обработка результатов тестирования состоит в подсчете числа ошибочно заполненных клеток бланка и в последующем определении (с помощью специальной таблицы) балла для каждой пробы. Количество баллов зависит от сложности карты и числа допущенных ошибок. Наивысшей оценкой за пробу является 5 баллов, минимальной – 0 баллов. Сумма баллов, набранных испытуемым, является количественной оценкой комплекса основных психических процессов (памяти, внимания, мышления, воображения). Дополнительный анализ позволяет выделить результаты по каждому процессу в отдельности. </w:t>
      </w:r>
    </w:p>
    <w:p w:rsidR="00DC19EE" w:rsidRPr="00A86C5C" w:rsidRDefault="00DC19EE" w:rsidP="00A86C5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86C5C">
        <w:rPr>
          <w:color w:val="auto"/>
          <w:sz w:val="28"/>
          <w:szCs w:val="28"/>
        </w:rPr>
        <w:t xml:space="preserve">На момент подачи публикации проведено фронтальное обследование по методике «Контроль зрительной памяти» 484 школьников (с первого по одиннадцатый класс) и 86 детей старшего дошкольного возраста, посещающих детский сад. Контингент испытуемых представлен учащимися Центра образования № 345 «Елохово» и Центра образования «Школа здоровья» № 1804 «Кожухово» города Москвы. </w:t>
      </w:r>
    </w:p>
    <w:p w:rsidR="00992854" w:rsidRPr="00A86C5C" w:rsidRDefault="00992854" w:rsidP="00A86C5C">
      <w:pPr>
        <w:pStyle w:val="Default"/>
        <w:spacing w:line="360" w:lineRule="auto"/>
        <w:ind w:firstLine="709"/>
        <w:jc w:val="both"/>
        <w:rPr>
          <w:b/>
          <w:bCs/>
          <w:color w:val="auto"/>
          <w:sz w:val="28"/>
          <w:szCs w:val="28"/>
        </w:rPr>
      </w:pPr>
    </w:p>
    <w:p w:rsidR="00DC19EE" w:rsidRPr="00A86C5C" w:rsidRDefault="00A86C5C" w:rsidP="00A86C5C">
      <w:pPr>
        <w:pStyle w:val="Default"/>
        <w:spacing w:line="360" w:lineRule="auto"/>
        <w:ind w:firstLine="709"/>
        <w:jc w:val="center"/>
        <w:outlineLvl w:val="1"/>
        <w:rPr>
          <w:color w:val="auto"/>
          <w:sz w:val="28"/>
          <w:szCs w:val="28"/>
        </w:rPr>
      </w:pPr>
      <w:bookmarkStart w:id="4" w:name="_Toc261267827"/>
      <w:r w:rsidRPr="00A86C5C">
        <w:rPr>
          <w:b/>
          <w:bCs/>
          <w:color w:val="auto"/>
          <w:sz w:val="28"/>
          <w:szCs w:val="28"/>
        </w:rPr>
        <w:t>ТЕНДЕНЦИИ В ПОДРОСТКОВОМ РАЗВИТИИ</w:t>
      </w:r>
      <w:bookmarkEnd w:id="4"/>
    </w:p>
    <w:p w:rsidR="00A86C5C" w:rsidRDefault="00A86C5C" w:rsidP="00A86C5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:rsidR="00DC19EE" w:rsidRDefault="00DC19EE" w:rsidP="00A86C5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  <w:r w:rsidRPr="00A86C5C">
        <w:rPr>
          <w:color w:val="auto"/>
          <w:sz w:val="28"/>
          <w:szCs w:val="28"/>
        </w:rPr>
        <w:t xml:space="preserve">Искусство как особая форма духовно-практической деятельности приобретает особую значимость в становлении личности. Художественная литература в силу своей уникальной способности отражать и передавать опыт поколений является значимым фактором социализации. </w:t>
      </w:r>
    </w:p>
    <w:p w:rsidR="00DC19EE" w:rsidRPr="00A86C5C" w:rsidRDefault="007724E5" w:rsidP="00A86C5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724E5">
        <w:rPr>
          <w:color w:val="auto"/>
          <w:sz w:val="28"/>
          <w:szCs w:val="28"/>
        </w:rPr>
        <w:br w:type="page"/>
      </w:r>
      <w:r w:rsidR="00DC19EE" w:rsidRPr="00A86C5C">
        <w:rPr>
          <w:color w:val="auto"/>
          <w:sz w:val="28"/>
          <w:szCs w:val="28"/>
        </w:rPr>
        <w:t xml:space="preserve">Выбор интереса подростков к литературе связан еще с тем, что литература является единственным видом искусства, включенным в целенаправленный педагогический процесс на протяжении всего периода школьного обучения. </w:t>
      </w:r>
    </w:p>
    <w:p w:rsidR="00DC19EE" w:rsidRPr="00A86C5C" w:rsidRDefault="00DC19EE" w:rsidP="00A86C5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86C5C">
        <w:rPr>
          <w:color w:val="auto"/>
          <w:sz w:val="28"/>
          <w:szCs w:val="28"/>
        </w:rPr>
        <w:t xml:space="preserve">Проблему подросткового чтения автор рассматривает через призму социальных изменений, произошедших в России: опираясь на постулат Л.С. Выготского о социально-классовой детерминированности возрастных потребностей и интересов, анализировалось влияние расслоения общества на интерес школьников к художественной литературе. В качестве индикаторов принадлежности к разным социальным слоям рассматривались такие социально-стратификационные факторы, как материальное положение семьи подростка и уровень образования его родителей. Стратификационный анализ дает возможность понять довольно тонкие различия в художественных ориентациях детей, обусловленные той культурной средой, в которой они воспитываются. </w:t>
      </w:r>
    </w:p>
    <w:p w:rsidR="00DC19EE" w:rsidRPr="00A86C5C" w:rsidRDefault="00DC19EE" w:rsidP="00A86C5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86C5C">
        <w:rPr>
          <w:color w:val="auto"/>
          <w:sz w:val="28"/>
          <w:szCs w:val="28"/>
        </w:rPr>
        <w:t xml:space="preserve">Представленные данные основаны на результатах социологического опроса (анкетирование) 7-х, 9-х, 10-х и 11-х классов московских общеобразовательных школ. В опросе приняли участие 2510 человек. </w:t>
      </w:r>
    </w:p>
    <w:p w:rsidR="00DC19EE" w:rsidRPr="00A86C5C" w:rsidRDefault="00DC19EE" w:rsidP="00A86C5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86C5C">
        <w:rPr>
          <w:color w:val="auto"/>
          <w:sz w:val="28"/>
          <w:szCs w:val="28"/>
        </w:rPr>
        <w:t xml:space="preserve">Ключевыми индикаторами интереса к художественной литературе являются: привлекательность (статус) литературы как вида искусства; интенсивность интереса к литературе (количество прочитанных книг в определенный промежуток времени); информированность о литературе; художественные предпочтения; мотивация выбора художественных произведений. </w:t>
      </w:r>
    </w:p>
    <w:p w:rsidR="00DC19EE" w:rsidRPr="00A86C5C" w:rsidRDefault="00DC19EE" w:rsidP="00A86C5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86C5C">
        <w:rPr>
          <w:color w:val="auto"/>
          <w:sz w:val="28"/>
          <w:szCs w:val="28"/>
        </w:rPr>
        <w:t xml:space="preserve">Основываясь на результатах опроса, можно утверждать, что литература занимает третье место в рейтинге после кино и музыки во всех возрастных параллелях. </w:t>
      </w:r>
    </w:p>
    <w:p w:rsidR="00DC19EE" w:rsidRPr="00A86C5C" w:rsidRDefault="00DC19EE" w:rsidP="00A86C5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86C5C">
        <w:rPr>
          <w:color w:val="auto"/>
          <w:sz w:val="28"/>
          <w:szCs w:val="28"/>
        </w:rPr>
        <w:t xml:space="preserve">Полученные результаты позволяют говорить о том, что образовательный статус семьи как своеобразный «культурный капитал» играет особую роль на этапе младшего подросткового возраста. Так, если в 7ом классе девушки из семей со средним образованием родителей читают в 2 раза меньше своих сверстниц из семей с высшим образованием (p&lt;,01), то к выпускным классам они читают практически столько же книг, что и девушки из семей с высшим образованием родителей. </w:t>
      </w:r>
    </w:p>
    <w:p w:rsidR="00DC19EE" w:rsidRPr="00A86C5C" w:rsidRDefault="00DC19EE" w:rsidP="00A86C5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86C5C">
        <w:rPr>
          <w:color w:val="auto"/>
          <w:sz w:val="28"/>
          <w:szCs w:val="28"/>
        </w:rPr>
        <w:t xml:space="preserve">Еще одним показателем интереса к литературе является информированность (показатель стремления разбираться в вопросах литературы и искусства). Результаты анализа показали, что вне зависимости от возраста подростки из семей с высшим образованием обоих родителей больше интересуются литературными новинками, при этом в отличие от своих сверстников из менее образованных семей, для которых доминирующим является мнение учителя, они ориентируются на мнение родителей. </w:t>
      </w:r>
    </w:p>
    <w:p w:rsidR="00DC19EE" w:rsidRPr="00A86C5C" w:rsidRDefault="00DC19EE" w:rsidP="00A86C5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86C5C">
        <w:rPr>
          <w:color w:val="auto"/>
          <w:sz w:val="28"/>
          <w:szCs w:val="28"/>
        </w:rPr>
        <w:t xml:space="preserve">Для выявления художественных предпочтений школьников просили назвать три любимых произведения. В итоге был получен список из 376 произведений. Сравнение полученного результата с данными аналогичных исследований, проведенных в 1976 и 1991гг., позволяет говорить о тенденции сужения выбора литературных произведений. Так, в </w:t>
      </w:r>
      <w:smartTag w:uri="urn:schemas-microsoft-com:office:smarttags" w:element="metricconverter">
        <w:smartTagPr>
          <w:attr w:name="ProductID" w:val="1976 г"/>
        </w:smartTagPr>
        <w:r w:rsidRPr="00A86C5C">
          <w:rPr>
            <w:color w:val="auto"/>
            <w:sz w:val="28"/>
            <w:szCs w:val="28"/>
          </w:rPr>
          <w:t>1976 г</w:t>
        </w:r>
      </w:smartTag>
      <w:r w:rsidRPr="00A86C5C">
        <w:rPr>
          <w:color w:val="auto"/>
          <w:sz w:val="28"/>
          <w:szCs w:val="28"/>
        </w:rPr>
        <w:t xml:space="preserve">. в ходе опроса школьниками было названо 1072 названия, в 1991 – 740. </w:t>
      </w:r>
    </w:p>
    <w:p w:rsidR="00DC19EE" w:rsidRPr="00A86C5C" w:rsidRDefault="00DC19EE" w:rsidP="00A86C5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86C5C">
        <w:rPr>
          <w:color w:val="auto"/>
          <w:sz w:val="28"/>
          <w:szCs w:val="28"/>
        </w:rPr>
        <w:t>Опираясь на культурологические представления о том, что культура «строится как некоторая концентрическая система», в центре которой расположены наиболее очевидные и последовательные структуры, была предпринята попытка оценить предпочтения и особенности субкультуры школьников. Проанализировав частотность называния школьниками отдельных произведений, выделили список наиболее часто встречаемых. Это позволило определить произведения художественной литературы, интенсивно функционирующие в субкультуре старшеклассников. В десять наиболее популярных произведений вошли: “Властелин колец” Толкиен Дж.Р.Р., “Гарри Поттер” Роуллинг Дж., “Мастер и Маргарита” Булгаков М.А., “Война и мир” Толстой Л.Н., “Ромео и Джульетта” Шекспир У., “Преступление и наказание” Достоевский Ф.М., трилогия “Дозор” Лукьяненко С., “Евгений Онегин” Пушкин А.С., “Герой нашего времени” Лермонтов М., Иронические детективы Донцова Д.</w:t>
      </w:r>
    </w:p>
    <w:p w:rsidR="00935DB4" w:rsidRPr="00A86C5C" w:rsidRDefault="00935DB4" w:rsidP="00A86C5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86C5C">
        <w:rPr>
          <w:color w:val="auto"/>
          <w:sz w:val="28"/>
          <w:szCs w:val="28"/>
        </w:rPr>
        <w:t xml:space="preserve">Результаты исследования свидетельствуют о воздействии социально-структурной трансформации российского общества на подростковую читательскую субкультуру, что может быть полезно при составлении учебных программ по художественной литературе как школьному предмету. В нашем исследовании мы экспериментально проверили предположение, что предоставление учащемуся возможности получать подкрепление явится условием становления усваиваемого умения в качестве </w:t>
      </w:r>
      <w:r w:rsidRPr="00A86C5C">
        <w:rPr>
          <w:iCs/>
          <w:color w:val="auto"/>
          <w:sz w:val="28"/>
          <w:szCs w:val="28"/>
        </w:rPr>
        <w:t>самостоятельного</w:t>
      </w:r>
      <w:r w:rsidRPr="00A86C5C">
        <w:rPr>
          <w:color w:val="auto"/>
          <w:sz w:val="28"/>
          <w:szCs w:val="28"/>
        </w:rPr>
        <w:t xml:space="preserve">. При этом должна будет подтверждена значимость двух видов </w:t>
      </w:r>
      <w:r w:rsidRPr="00A86C5C">
        <w:rPr>
          <w:iCs/>
          <w:color w:val="auto"/>
          <w:sz w:val="28"/>
          <w:szCs w:val="28"/>
        </w:rPr>
        <w:t xml:space="preserve">социальных </w:t>
      </w:r>
      <w:r w:rsidRPr="00A86C5C">
        <w:rPr>
          <w:color w:val="auto"/>
          <w:sz w:val="28"/>
          <w:szCs w:val="28"/>
        </w:rPr>
        <w:t xml:space="preserve">подкрепителей и конкретизированы выполняемые ими функции – как обеспечение соответственно </w:t>
      </w:r>
      <w:r w:rsidRPr="00A86C5C">
        <w:rPr>
          <w:iCs/>
          <w:color w:val="auto"/>
          <w:sz w:val="28"/>
          <w:szCs w:val="28"/>
        </w:rPr>
        <w:t xml:space="preserve">опережающего </w:t>
      </w:r>
      <w:r w:rsidRPr="00A86C5C">
        <w:rPr>
          <w:color w:val="auto"/>
          <w:sz w:val="28"/>
          <w:szCs w:val="28"/>
        </w:rPr>
        <w:t xml:space="preserve">и </w:t>
      </w:r>
      <w:r w:rsidRPr="00A86C5C">
        <w:rPr>
          <w:iCs/>
          <w:color w:val="auto"/>
          <w:sz w:val="28"/>
          <w:szCs w:val="28"/>
        </w:rPr>
        <w:t>конечного подкрепления</w:t>
      </w:r>
      <w:r w:rsidRPr="00A86C5C">
        <w:rPr>
          <w:color w:val="auto"/>
          <w:sz w:val="28"/>
          <w:szCs w:val="28"/>
        </w:rPr>
        <w:t xml:space="preserve">. </w:t>
      </w:r>
    </w:p>
    <w:p w:rsidR="00935DB4" w:rsidRPr="00A86C5C" w:rsidRDefault="00935DB4" w:rsidP="00A86C5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86C5C">
        <w:rPr>
          <w:color w:val="auto"/>
          <w:sz w:val="28"/>
          <w:szCs w:val="28"/>
        </w:rPr>
        <w:t xml:space="preserve">На основе диагностики дошкольников по методике «Контроль зрительной памяти» составлены рейтинговые списки групп, предположительно отражающие степень готовности детей к школе. В дальнейшем планируется провести индивидуальную диагностику этих детей по той же методике, что позволит уточнить результаты и оценить конкретные параметры готовности к школе, а также дать рекомендации воспитателям. Кроме того, сравнение результатов, которые дошкольник показал в двух режимах (групповом и индивидуальном), позволит сделать выводы о готовности ребенка к фронтальному обучению в классе. </w:t>
      </w:r>
    </w:p>
    <w:p w:rsidR="00DC19EE" w:rsidRPr="00A86C5C" w:rsidRDefault="00DC19EE" w:rsidP="00A86C5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86C5C">
        <w:rPr>
          <w:color w:val="auto"/>
          <w:sz w:val="28"/>
          <w:szCs w:val="28"/>
        </w:rPr>
        <w:t xml:space="preserve">Анализ списков произведений по параметру отечественные – зарубежные позволяет говорить о существовании тенденции увеличения доли отечественных произведений на протяжении школьного возраста. У подростков из семей с высшим образовательным уровнем родителей отмечена устойчивая тенденция к предпочтению внепрограммных произведений. Опираясь на результаты многомерного дисперсионного анализа, можно говорить о том, что «уровень дохода в семье» оказывает влияние на выбор жанра литературы. </w:t>
      </w:r>
    </w:p>
    <w:p w:rsidR="00992854" w:rsidRDefault="007724E5" w:rsidP="007724E5">
      <w:pPr>
        <w:pStyle w:val="Default"/>
        <w:spacing w:line="360" w:lineRule="auto"/>
        <w:ind w:firstLine="709"/>
        <w:jc w:val="center"/>
        <w:rPr>
          <w:b/>
          <w:color w:val="auto"/>
          <w:sz w:val="28"/>
          <w:szCs w:val="28"/>
          <w:lang w:val="en-US"/>
        </w:rPr>
      </w:pPr>
      <w:r>
        <w:rPr>
          <w:color w:val="auto"/>
          <w:sz w:val="28"/>
          <w:szCs w:val="28"/>
        </w:rPr>
        <w:br w:type="page"/>
      </w:r>
      <w:bookmarkStart w:id="5" w:name="_Toc261267828"/>
      <w:r w:rsidRPr="00A86C5C">
        <w:rPr>
          <w:b/>
          <w:color w:val="auto"/>
          <w:sz w:val="28"/>
          <w:szCs w:val="28"/>
        </w:rPr>
        <w:t>ЗАКЛЮЧЕНИЕ</w:t>
      </w:r>
      <w:bookmarkEnd w:id="5"/>
    </w:p>
    <w:p w:rsidR="007724E5" w:rsidRPr="007724E5" w:rsidRDefault="007724E5" w:rsidP="007724E5">
      <w:pPr>
        <w:pStyle w:val="Default"/>
        <w:spacing w:line="360" w:lineRule="auto"/>
        <w:ind w:firstLine="709"/>
        <w:jc w:val="both"/>
        <w:rPr>
          <w:b/>
          <w:color w:val="auto"/>
          <w:sz w:val="28"/>
          <w:szCs w:val="28"/>
          <w:lang w:val="en-US"/>
        </w:rPr>
      </w:pPr>
    </w:p>
    <w:p w:rsidR="00935DB4" w:rsidRPr="00A86C5C" w:rsidRDefault="00935DB4" w:rsidP="00A86C5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6C5C">
        <w:rPr>
          <w:sz w:val="28"/>
          <w:szCs w:val="28"/>
        </w:rPr>
        <w:t xml:space="preserve">Мы предполагаем, что существует следующая система психолого-педагогических условий создания готовности к занятиям. Прежде всего, учащийся должен располагать «долговременной готовностью», т.е. </w:t>
      </w:r>
      <w:r w:rsidRPr="00A86C5C">
        <w:rPr>
          <w:iCs/>
          <w:sz w:val="28"/>
          <w:szCs w:val="28"/>
        </w:rPr>
        <w:t xml:space="preserve">субъектом </w:t>
      </w:r>
      <w:r w:rsidRPr="00A86C5C">
        <w:rPr>
          <w:sz w:val="28"/>
          <w:szCs w:val="28"/>
        </w:rPr>
        <w:t xml:space="preserve">и </w:t>
      </w:r>
      <w:r w:rsidRPr="00A86C5C">
        <w:rPr>
          <w:iCs/>
          <w:sz w:val="28"/>
          <w:szCs w:val="28"/>
        </w:rPr>
        <w:t xml:space="preserve">предметом </w:t>
      </w:r>
      <w:r w:rsidRPr="00A86C5C">
        <w:rPr>
          <w:sz w:val="28"/>
          <w:szCs w:val="28"/>
        </w:rPr>
        <w:t xml:space="preserve">учения. Первый это, прежде всего, структуры в учащемся, обеспечивающие саму возможность учения; второй – предметно-специфические знания и умения, содержание которых отвечает тем, что подлежат усвоению. К приходу учащегося надо создать все условия, находящиеся вне его, – учебный материал, или </w:t>
      </w:r>
      <w:r w:rsidRPr="00A86C5C">
        <w:rPr>
          <w:iCs/>
          <w:sz w:val="28"/>
          <w:szCs w:val="28"/>
        </w:rPr>
        <w:t>основное средство учения</w:t>
      </w:r>
      <w:r w:rsidRPr="00A86C5C">
        <w:rPr>
          <w:sz w:val="28"/>
          <w:szCs w:val="28"/>
        </w:rPr>
        <w:t xml:space="preserve">, и </w:t>
      </w:r>
      <w:r w:rsidRPr="00A86C5C">
        <w:rPr>
          <w:iCs/>
          <w:sz w:val="28"/>
          <w:szCs w:val="28"/>
        </w:rPr>
        <w:t>внешние условия учения</w:t>
      </w:r>
      <w:r w:rsidRPr="00A86C5C">
        <w:rPr>
          <w:sz w:val="28"/>
          <w:szCs w:val="28"/>
        </w:rPr>
        <w:t xml:space="preserve">. Далее, нужно </w:t>
      </w:r>
      <w:r w:rsidRPr="00A86C5C">
        <w:rPr>
          <w:iCs/>
          <w:sz w:val="28"/>
          <w:szCs w:val="28"/>
        </w:rPr>
        <w:t xml:space="preserve">устранить посторонние актуальные установки </w:t>
      </w:r>
      <w:r w:rsidRPr="00A86C5C">
        <w:rPr>
          <w:sz w:val="28"/>
          <w:szCs w:val="28"/>
        </w:rPr>
        <w:t xml:space="preserve">и факторы, способствующие их появлению по ходу учения. Вслед за этим обеспечивается кратковременный отдых, сменяющийся состоянием бодрости. Затем актуализируется ранее сформированная мотивация путем установления смыслового отношения ее к теме занятия. Наконец, учащийся должен иметь промежуток времени для осуществления ориентировки в ситуации учения. При отсутствии каких-либо звеньев исходных условий производятся попытки их формирования или компенсации. </w:t>
      </w:r>
    </w:p>
    <w:p w:rsidR="00DC19EE" w:rsidRDefault="007724E5" w:rsidP="007724E5">
      <w:pPr>
        <w:spacing w:line="360" w:lineRule="auto"/>
        <w:ind w:firstLine="709"/>
        <w:jc w:val="center"/>
        <w:rPr>
          <w:b/>
          <w:bCs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bookmarkStart w:id="6" w:name="_Toc261267829"/>
      <w:r w:rsidRPr="00A86C5C">
        <w:rPr>
          <w:b/>
          <w:bCs/>
          <w:sz w:val="28"/>
          <w:szCs w:val="28"/>
        </w:rPr>
        <w:t>СПИСОК ЛИТЕРАТУРЫ</w:t>
      </w:r>
      <w:bookmarkEnd w:id="6"/>
    </w:p>
    <w:p w:rsidR="007724E5" w:rsidRPr="007724E5" w:rsidRDefault="007724E5" w:rsidP="007724E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C19EE" w:rsidRPr="00A86C5C" w:rsidRDefault="00DC19EE" w:rsidP="007724E5">
      <w:pPr>
        <w:pStyle w:val="Default"/>
        <w:numPr>
          <w:ilvl w:val="0"/>
          <w:numId w:val="4"/>
        </w:numPr>
        <w:spacing w:line="360" w:lineRule="auto"/>
        <w:ind w:left="0" w:firstLine="0"/>
        <w:jc w:val="both"/>
        <w:rPr>
          <w:color w:val="auto"/>
          <w:sz w:val="28"/>
          <w:szCs w:val="28"/>
        </w:rPr>
      </w:pPr>
      <w:r w:rsidRPr="00A86C5C">
        <w:rPr>
          <w:color w:val="auto"/>
          <w:sz w:val="28"/>
          <w:szCs w:val="28"/>
        </w:rPr>
        <w:t>Моль А.</w:t>
      </w:r>
      <w:r w:rsidR="00992854" w:rsidRPr="00A86C5C">
        <w:rPr>
          <w:color w:val="auto"/>
          <w:sz w:val="28"/>
          <w:szCs w:val="28"/>
        </w:rPr>
        <w:t xml:space="preserve"> Социодинамика культуры. М., 200</w:t>
      </w:r>
      <w:r w:rsidRPr="00A86C5C">
        <w:rPr>
          <w:color w:val="auto"/>
          <w:sz w:val="28"/>
          <w:szCs w:val="28"/>
        </w:rPr>
        <w:t xml:space="preserve">3. </w:t>
      </w:r>
    </w:p>
    <w:p w:rsidR="00992854" w:rsidRPr="00A86C5C" w:rsidRDefault="00DC19EE" w:rsidP="007724E5">
      <w:pPr>
        <w:pStyle w:val="Default"/>
        <w:numPr>
          <w:ilvl w:val="0"/>
          <w:numId w:val="4"/>
        </w:numPr>
        <w:spacing w:line="360" w:lineRule="auto"/>
        <w:ind w:left="0" w:firstLine="0"/>
        <w:jc w:val="both"/>
        <w:rPr>
          <w:color w:val="auto"/>
          <w:sz w:val="28"/>
          <w:szCs w:val="28"/>
        </w:rPr>
      </w:pPr>
      <w:r w:rsidRPr="00A86C5C">
        <w:rPr>
          <w:color w:val="auto"/>
          <w:sz w:val="28"/>
          <w:szCs w:val="28"/>
        </w:rPr>
        <w:t>Собкин В.С. «К диагностике литературных способностей школьников» // В сб.: «Взаимосвязь теории и практики эстетического в</w:t>
      </w:r>
      <w:r w:rsidR="00992854" w:rsidRPr="00A86C5C">
        <w:rPr>
          <w:color w:val="auto"/>
          <w:sz w:val="28"/>
          <w:szCs w:val="28"/>
        </w:rPr>
        <w:t>оспитания школьников». – М., 200</w:t>
      </w:r>
      <w:r w:rsidRPr="00A86C5C">
        <w:rPr>
          <w:color w:val="auto"/>
          <w:sz w:val="28"/>
          <w:szCs w:val="28"/>
        </w:rPr>
        <w:t xml:space="preserve">7. </w:t>
      </w:r>
    </w:p>
    <w:p w:rsidR="00DC19EE" w:rsidRPr="00A86C5C" w:rsidRDefault="00DC19EE" w:rsidP="007724E5">
      <w:pPr>
        <w:pStyle w:val="Default"/>
        <w:numPr>
          <w:ilvl w:val="0"/>
          <w:numId w:val="4"/>
        </w:numPr>
        <w:spacing w:line="360" w:lineRule="auto"/>
        <w:ind w:left="0" w:firstLine="0"/>
        <w:jc w:val="both"/>
        <w:rPr>
          <w:color w:val="auto"/>
          <w:sz w:val="28"/>
          <w:szCs w:val="28"/>
        </w:rPr>
      </w:pPr>
      <w:r w:rsidRPr="00A86C5C">
        <w:rPr>
          <w:color w:val="auto"/>
          <w:sz w:val="28"/>
          <w:szCs w:val="28"/>
        </w:rPr>
        <w:t xml:space="preserve">Собкин В.С., Писарский П.С. «Динамика художественных предпочтений старшеклассников». – М.: </w:t>
      </w:r>
      <w:r w:rsidR="00992854" w:rsidRPr="00A86C5C">
        <w:rPr>
          <w:color w:val="auto"/>
          <w:sz w:val="28"/>
          <w:szCs w:val="28"/>
        </w:rPr>
        <w:t>Министерство образования РФ, 2008</w:t>
      </w:r>
      <w:r w:rsidRPr="00A86C5C">
        <w:rPr>
          <w:color w:val="auto"/>
          <w:sz w:val="28"/>
          <w:szCs w:val="28"/>
        </w:rPr>
        <w:t xml:space="preserve">. </w:t>
      </w:r>
    </w:p>
    <w:p w:rsidR="00DC19EE" w:rsidRPr="00A86C5C" w:rsidRDefault="00DC19EE" w:rsidP="007724E5">
      <w:pPr>
        <w:pStyle w:val="Default"/>
        <w:numPr>
          <w:ilvl w:val="0"/>
          <w:numId w:val="4"/>
        </w:numPr>
        <w:spacing w:line="360" w:lineRule="auto"/>
        <w:ind w:left="0" w:firstLine="0"/>
        <w:jc w:val="both"/>
        <w:rPr>
          <w:color w:val="auto"/>
          <w:sz w:val="28"/>
          <w:szCs w:val="28"/>
        </w:rPr>
      </w:pPr>
      <w:r w:rsidRPr="00A86C5C">
        <w:rPr>
          <w:color w:val="auto"/>
          <w:sz w:val="28"/>
          <w:szCs w:val="28"/>
        </w:rPr>
        <w:t>Собкин В.С., Писарский П.С. «Учитель и старшеклассник в мире художественной литературы» – М.: ЦСО РАО,</w:t>
      </w:r>
      <w:r w:rsidR="00992854" w:rsidRPr="00A86C5C">
        <w:rPr>
          <w:color w:val="auto"/>
          <w:sz w:val="28"/>
          <w:szCs w:val="28"/>
        </w:rPr>
        <w:t xml:space="preserve"> 2007</w:t>
      </w:r>
      <w:r w:rsidRPr="00A86C5C">
        <w:rPr>
          <w:color w:val="auto"/>
          <w:sz w:val="28"/>
          <w:szCs w:val="28"/>
        </w:rPr>
        <w:t xml:space="preserve">. </w:t>
      </w:r>
    </w:p>
    <w:p w:rsidR="00992854" w:rsidRPr="00A86C5C" w:rsidRDefault="00992854" w:rsidP="007724E5">
      <w:pPr>
        <w:pStyle w:val="Default"/>
        <w:numPr>
          <w:ilvl w:val="0"/>
          <w:numId w:val="4"/>
        </w:numPr>
        <w:spacing w:line="360" w:lineRule="auto"/>
        <w:ind w:left="0" w:firstLine="0"/>
        <w:jc w:val="both"/>
        <w:rPr>
          <w:color w:val="auto"/>
          <w:sz w:val="28"/>
          <w:szCs w:val="28"/>
        </w:rPr>
      </w:pPr>
      <w:r w:rsidRPr="00A86C5C">
        <w:rPr>
          <w:color w:val="auto"/>
          <w:sz w:val="28"/>
          <w:szCs w:val="28"/>
        </w:rPr>
        <w:t xml:space="preserve">М.Б. Зыков. Использование кодирования функций алгебры логики для исследования зрительной памяти у людей // Физиологические механизмы памяти. Под редакцией проф. Е.А. Громовой. – Пущино-на-Оке, 2007. </w:t>
      </w:r>
    </w:p>
    <w:p w:rsidR="00992854" w:rsidRPr="00A86C5C" w:rsidRDefault="00992854" w:rsidP="007724E5">
      <w:pPr>
        <w:pStyle w:val="Default"/>
        <w:numPr>
          <w:ilvl w:val="0"/>
          <w:numId w:val="4"/>
        </w:numPr>
        <w:spacing w:line="360" w:lineRule="auto"/>
        <w:ind w:left="0" w:firstLine="0"/>
        <w:jc w:val="both"/>
        <w:rPr>
          <w:color w:val="auto"/>
          <w:sz w:val="28"/>
          <w:szCs w:val="28"/>
        </w:rPr>
      </w:pPr>
      <w:r w:rsidRPr="00A86C5C">
        <w:rPr>
          <w:color w:val="auto"/>
          <w:sz w:val="28"/>
          <w:szCs w:val="28"/>
        </w:rPr>
        <w:t>Российская школа: от PISA-2000 к PISA-2003 / А.Л. Венгер, Г.Р. Калимуллина, А.Г. Каспржак, К.Н. Поливанова, О.В. Соколова, Ю.А. Тюменева; под общ. ред. А.Г. Каспржака, К.Н. Поливановой. – М.: Логос, 2006.</w:t>
      </w:r>
      <w:bookmarkStart w:id="7" w:name="_GoBack"/>
      <w:bookmarkEnd w:id="7"/>
    </w:p>
    <w:sectPr w:rsidR="00992854" w:rsidRPr="00A86C5C" w:rsidSect="00A86C5C">
      <w:headerReference w:type="even" r:id="rId7"/>
      <w:headerReference w:type="default" r:id="rId8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B7C" w:rsidRDefault="00F83B7C">
      <w:r>
        <w:separator/>
      </w:r>
    </w:p>
  </w:endnote>
  <w:endnote w:type="continuationSeparator" w:id="0">
    <w:p w:rsidR="00F83B7C" w:rsidRDefault="00F83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B7C" w:rsidRDefault="00F83B7C">
      <w:r>
        <w:separator/>
      </w:r>
    </w:p>
  </w:footnote>
  <w:footnote w:type="continuationSeparator" w:id="0">
    <w:p w:rsidR="00F83B7C" w:rsidRDefault="00F83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854" w:rsidRDefault="00992854" w:rsidP="009250DD">
    <w:pPr>
      <w:pStyle w:val="a3"/>
      <w:framePr w:wrap="around" w:vAnchor="text" w:hAnchor="margin" w:xAlign="right" w:y="1"/>
      <w:rPr>
        <w:rStyle w:val="a5"/>
      </w:rPr>
    </w:pPr>
  </w:p>
  <w:p w:rsidR="00992854" w:rsidRDefault="00992854" w:rsidP="0099285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854" w:rsidRDefault="00E4733F" w:rsidP="009250DD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992854" w:rsidRDefault="00992854" w:rsidP="00992854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52617"/>
    <w:multiLevelType w:val="hybridMultilevel"/>
    <w:tmpl w:val="9D377176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17E564BD"/>
    <w:multiLevelType w:val="hybridMultilevel"/>
    <w:tmpl w:val="F4060A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57410E19"/>
    <w:multiLevelType w:val="hybridMultilevel"/>
    <w:tmpl w:val="25DCBA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7D86A01B"/>
    <w:multiLevelType w:val="hybridMultilevel"/>
    <w:tmpl w:val="FDF28712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19EE"/>
    <w:rsid w:val="00183649"/>
    <w:rsid w:val="001A1501"/>
    <w:rsid w:val="00224BC1"/>
    <w:rsid w:val="004862AD"/>
    <w:rsid w:val="00637269"/>
    <w:rsid w:val="00657DA4"/>
    <w:rsid w:val="00672069"/>
    <w:rsid w:val="007724E5"/>
    <w:rsid w:val="009250DD"/>
    <w:rsid w:val="00935DB4"/>
    <w:rsid w:val="00992854"/>
    <w:rsid w:val="00A86C5C"/>
    <w:rsid w:val="00B00072"/>
    <w:rsid w:val="00DC19EE"/>
    <w:rsid w:val="00E4733F"/>
    <w:rsid w:val="00F83B7C"/>
    <w:rsid w:val="00F9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BDB60AD-3AC7-4428-885B-753A5D4BB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9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C19E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header"/>
    <w:basedOn w:val="a"/>
    <w:link w:val="a4"/>
    <w:uiPriority w:val="99"/>
    <w:rsid w:val="009928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992854"/>
    <w:rPr>
      <w:rFonts w:cs="Times New Roman"/>
    </w:rPr>
  </w:style>
  <w:style w:type="paragraph" w:styleId="1">
    <w:name w:val="toc 1"/>
    <w:basedOn w:val="a"/>
    <w:next w:val="a"/>
    <w:autoRedefine/>
    <w:uiPriority w:val="39"/>
    <w:semiHidden/>
    <w:rsid w:val="00935DB4"/>
  </w:style>
  <w:style w:type="paragraph" w:styleId="2">
    <w:name w:val="toc 2"/>
    <w:basedOn w:val="a"/>
    <w:next w:val="a"/>
    <w:autoRedefine/>
    <w:uiPriority w:val="39"/>
    <w:semiHidden/>
    <w:rsid w:val="00935DB4"/>
    <w:pPr>
      <w:ind w:left="240"/>
    </w:pPr>
  </w:style>
  <w:style w:type="character" w:styleId="a6">
    <w:name w:val="Hyperlink"/>
    <w:uiPriority w:val="99"/>
    <w:rsid w:val="00935DB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3095</Words>
  <Characters>17646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Подкрепление в структуре учения как деятельности </vt:lpstr>
    </vt:vector>
  </TitlesOfParts>
  <Company>ussr</Company>
  <LinksUpToDate>false</LinksUpToDate>
  <CharactersWithSpaces>20700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Подкрепление в структуре учения как деятельности </dc:title>
  <dc:subject/>
  <dc:creator>user</dc:creator>
  <cp:keywords/>
  <dc:description/>
  <cp:lastModifiedBy>admin</cp:lastModifiedBy>
  <cp:revision>2</cp:revision>
  <dcterms:created xsi:type="dcterms:W3CDTF">2014-03-04T23:08:00Z</dcterms:created>
  <dcterms:modified xsi:type="dcterms:W3CDTF">2014-03-04T23:08:00Z</dcterms:modified>
</cp:coreProperties>
</file>