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14" w:rsidRPr="00B87686" w:rsidRDefault="00B87686" w:rsidP="00B87686">
      <w:pPr>
        <w:pStyle w:val="2"/>
      </w:pPr>
      <w:r w:rsidRPr="00B87686">
        <w:t>Механизм выпуска и обращения простого и переводного векселя</w:t>
      </w:r>
    </w:p>
    <w:p w:rsidR="00B87686" w:rsidRDefault="00B87686" w:rsidP="00B87686"/>
    <w:p w:rsidR="00B87686" w:rsidRDefault="00E75D14" w:rsidP="00B87686">
      <w:r w:rsidRPr="00B87686">
        <w:t>Векселя появились в России еще в XVII веке, а документы, регулировавшие вексельный оборот, дважды уточнялись</w:t>
      </w:r>
      <w:r w:rsidR="00B87686">
        <w:t xml:space="preserve"> (</w:t>
      </w:r>
      <w:r w:rsidRPr="00B87686">
        <w:t>последняя редакция вексельного устава была принята в 1902 году</w:t>
      </w:r>
      <w:r w:rsidR="00B87686" w:rsidRPr="00B87686">
        <w:t xml:space="preserve">). </w:t>
      </w:r>
      <w:r w:rsidRPr="00B87686">
        <w:t>В течение первых послереволюционных лет векселя не использовались</w:t>
      </w:r>
      <w:r w:rsidR="00B87686" w:rsidRPr="00B87686">
        <w:t xml:space="preserve">; </w:t>
      </w:r>
      <w:r w:rsidRPr="00B87686">
        <w:t>с переходом к НЭПу система коммерческого кредита была восстановлена, однако затем окончательно упразднена кредитной реформой 1930 года, ликвидировавшей хозяйственную самостоятельность предприятий</w:t>
      </w:r>
      <w:r w:rsidR="00B87686" w:rsidRPr="00B87686">
        <w:t xml:space="preserve">. </w:t>
      </w:r>
      <w:r w:rsidRPr="00B87686">
        <w:t>Кстати, в этом же году с целью унификации порядка выпуска и обращения векселей в разных странах в Женеве была подписана Международная конвенция о векселях, к которой СССР присоединился через несколько лет, одновременно утвердив</w:t>
      </w:r>
      <w:r w:rsidR="00B87686">
        <w:t xml:space="preserve"> "</w:t>
      </w:r>
      <w:r w:rsidRPr="00B87686">
        <w:t>Положение о переводном и простом векселе</w:t>
      </w:r>
      <w:r w:rsidR="00B87686">
        <w:t xml:space="preserve">". </w:t>
      </w:r>
      <w:r w:rsidRPr="00B87686">
        <w:t>Несмотря на наличие такого документа, векселя, после их отмены в 1930 году, вплоть до девяностых годов во внутреннем обороте не использовались</w:t>
      </w:r>
      <w:r w:rsidR="00B87686" w:rsidRPr="00B87686">
        <w:t xml:space="preserve">. </w:t>
      </w:r>
      <w:r w:rsidRPr="00B87686">
        <w:t>Лишь в 1990 году в тогда еще общесоюзном законодательстве векселя были</w:t>
      </w:r>
      <w:r w:rsidR="00B87686">
        <w:t xml:space="preserve"> "</w:t>
      </w:r>
      <w:r w:rsidRPr="00B87686">
        <w:t>реабилитированы</w:t>
      </w:r>
      <w:r w:rsidR="00B87686">
        <w:t>". .</w:t>
      </w:r>
    </w:p>
    <w:p w:rsidR="00B87686" w:rsidRDefault="00E75D14" w:rsidP="00B87686">
      <w:r w:rsidRPr="00B87686">
        <w:t>А 20 марта 1996 года Госдумой был принят долгожданный закон</w:t>
      </w:r>
      <w:r w:rsidR="00B87686">
        <w:t xml:space="preserve"> "</w:t>
      </w:r>
      <w:r w:rsidRPr="00B87686">
        <w:t>О рынке ценных бумаг</w:t>
      </w:r>
      <w:r w:rsidR="00B87686">
        <w:t xml:space="preserve">". </w:t>
      </w:r>
      <w:r w:rsidRPr="00B87686">
        <w:t>В соответствии с ним вводилась обязательная регистрация всех участников рынка</w:t>
      </w:r>
      <w:r w:rsidR="00B87686" w:rsidRPr="00B87686">
        <w:t xml:space="preserve">; </w:t>
      </w:r>
      <w:r w:rsidRPr="00B87686">
        <w:t>а также вся исполнительная власть в области рынка ценных бумаг передавалась создаваемой Федеральной комиссией по рынку ценных бумаг</w:t>
      </w:r>
      <w:r w:rsidR="00B87686">
        <w:t xml:space="preserve"> (</w:t>
      </w:r>
      <w:r w:rsidRPr="00B87686">
        <w:t>ФКЦБ России</w:t>
      </w:r>
      <w:r w:rsidR="00B87686" w:rsidRPr="00B87686">
        <w:t>).</w:t>
      </w:r>
    </w:p>
    <w:p w:rsidR="00B87686" w:rsidRDefault="00E75D14" w:rsidP="00B87686">
      <w:r w:rsidRPr="00B87686">
        <w:t>Выпуск векселя не</w:t>
      </w:r>
      <w:r w:rsidR="00B87686">
        <w:t xml:space="preserve"> </w:t>
      </w:r>
      <w:r w:rsidRPr="00B87686">
        <w:t>связан с</w:t>
      </w:r>
      <w:r w:rsidR="00B87686">
        <w:t xml:space="preserve"> </w:t>
      </w:r>
      <w:r w:rsidRPr="00B87686">
        <w:t>обязательной процедурой государственной регистрации эмиссии</w:t>
      </w:r>
      <w:r w:rsidR="00B87686">
        <w:t xml:space="preserve"> (</w:t>
      </w:r>
      <w:r w:rsidRPr="00B87686">
        <w:t>кроме оговоренных законом случаев</w:t>
      </w:r>
      <w:r w:rsidR="00B87686" w:rsidRPr="00B87686">
        <w:t>),</w:t>
      </w:r>
      <w:r w:rsidRPr="00B87686">
        <w:t xml:space="preserve"> не</w:t>
      </w:r>
      <w:r w:rsidR="00B87686">
        <w:t xml:space="preserve"> </w:t>
      </w:r>
      <w:r w:rsidRPr="00B87686">
        <w:t>требуется заверения подписей на</w:t>
      </w:r>
      <w:r w:rsidR="00B87686">
        <w:t xml:space="preserve"> </w:t>
      </w:r>
      <w:r w:rsidRPr="00B87686">
        <w:t>векселе нотариусом</w:t>
      </w:r>
      <w:r w:rsidR="00B87686" w:rsidRPr="00B87686">
        <w:t>.</w:t>
      </w:r>
    </w:p>
    <w:p w:rsidR="00B87686" w:rsidRDefault="00E75D14" w:rsidP="00B87686">
      <w:r w:rsidRPr="00B87686">
        <w:t>Все выпускаемые векселя делятся на две большие группы</w:t>
      </w:r>
      <w:r w:rsidR="00B87686" w:rsidRPr="00B87686">
        <w:t xml:space="preserve">: </w:t>
      </w:r>
      <w:r w:rsidRPr="00B87686">
        <w:t>простые и переводные</w:t>
      </w:r>
      <w:r w:rsidR="00B87686" w:rsidRPr="00B87686">
        <w:t>.</w:t>
      </w:r>
    </w:p>
    <w:p w:rsidR="00B87686" w:rsidRDefault="00E75D14" w:rsidP="00B87686">
      <w:r w:rsidRPr="00B87686">
        <w:t>Простой вексель</w:t>
      </w:r>
      <w:r w:rsidR="00B87686">
        <w:t xml:space="preserve"> (</w:t>
      </w:r>
      <w:r w:rsidRPr="00B87686">
        <w:t>соло-вексель</w:t>
      </w:r>
      <w:r w:rsidR="00B87686" w:rsidRPr="00B87686">
        <w:t xml:space="preserve">) - </w:t>
      </w:r>
      <w:r w:rsidRPr="00B87686">
        <w:t>это безусловное долговое обязательство должника</w:t>
      </w:r>
      <w:r w:rsidR="00B87686">
        <w:t xml:space="preserve"> (</w:t>
      </w:r>
      <w:r w:rsidRPr="00B87686">
        <w:t>векселедателя</w:t>
      </w:r>
      <w:r w:rsidR="00B87686" w:rsidRPr="00B87686">
        <w:t xml:space="preserve">) </w:t>
      </w:r>
      <w:r w:rsidRPr="00B87686">
        <w:t>уплатить кредитору</w:t>
      </w:r>
      <w:r w:rsidR="00B87686">
        <w:t xml:space="preserve"> (</w:t>
      </w:r>
      <w:r w:rsidRPr="00B87686">
        <w:t>векселедержателю</w:t>
      </w:r>
      <w:r w:rsidR="00B87686" w:rsidRPr="00B87686">
        <w:t xml:space="preserve">) </w:t>
      </w:r>
      <w:r w:rsidRPr="00B87686">
        <w:t>определенную сумму денежных средств в определенном месте и в установленные сроки или по приказу кредитора перечислить средства третьему лицу</w:t>
      </w:r>
      <w:r w:rsidR="00B87686" w:rsidRPr="00B87686">
        <w:t>.</w:t>
      </w:r>
    </w:p>
    <w:p w:rsidR="00B87686" w:rsidRDefault="00E75D14" w:rsidP="00B87686">
      <w:r w:rsidRPr="00B87686">
        <w:t xml:space="preserve">Отличительной чертой простого векселя является то, что должником всегда является лицо, выписавшее вексель, </w:t>
      </w:r>
      <w:r w:rsidR="00B87686">
        <w:t>т.е.</w:t>
      </w:r>
      <w:r w:rsidR="00B87686" w:rsidRPr="00B87686">
        <w:t xml:space="preserve"> </w:t>
      </w:r>
      <w:r w:rsidRPr="00B87686">
        <w:t>векселедатель</w:t>
      </w:r>
      <w:r w:rsidR="00B87686" w:rsidRPr="00B87686">
        <w:t xml:space="preserve">. </w:t>
      </w:r>
      <w:r w:rsidRPr="00B87686">
        <w:t>Держатель векселя может использовать его в расчетах со своими контрагентами, переводя свою задолженность на векселедателя</w:t>
      </w:r>
      <w:r w:rsidR="00B87686" w:rsidRPr="00B87686">
        <w:t>.</w:t>
      </w:r>
    </w:p>
    <w:p w:rsidR="00B87686" w:rsidRDefault="00E75D14" w:rsidP="00B87686">
      <w:r w:rsidRPr="00B87686">
        <w:t>Переводной вексель</w:t>
      </w:r>
      <w:r w:rsidR="00B87686">
        <w:t xml:space="preserve"> (</w:t>
      </w:r>
      <w:r w:rsidRPr="00B87686">
        <w:t>тратта</w:t>
      </w:r>
      <w:r w:rsidR="00B87686" w:rsidRPr="00B87686">
        <w:t xml:space="preserve">) - </w:t>
      </w:r>
      <w:r w:rsidRPr="00B87686">
        <w:t>это поручение</w:t>
      </w:r>
      <w:r w:rsidR="00B87686">
        <w:t xml:space="preserve"> (</w:t>
      </w:r>
      <w:r w:rsidRPr="00B87686">
        <w:t>приказ</w:t>
      </w:r>
      <w:r w:rsidR="00B87686" w:rsidRPr="00B87686">
        <w:t xml:space="preserve">) </w:t>
      </w:r>
      <w:r w:rsidRPr="00B87686">
        <w:t>кредитора</w:t>
      </w:r>
      <w:r w:rsidR="00B87686">
        <w:t xml:space="preserve"> (</w:t>
      </w:r>
      <w:r w:rsidRPr="00B87686">
        <w:t>векселедателя</w:t>
      </w:r>
      <w:r w:rsidR="00B87686" w:rsidRPr="00B87686">
        <w:t>),</w:t>
      </w:r>
      <w:r w:rsidRPr="00B87686">
        <w:t xml:space="preserve"> обязывающее должника</w:t>
      </w:r>
      <w:r w:rsidR="00B87686">
        <w:t xml:space="preserve"> (</w:t>
      </w:r>
      <w:r w:rsidRPr="00B87686">
        <w:t>трассата</w:t>
      </w:r>
      <w:r w:rsidR="00B87686" w:rsidRPr="00B87686">
        <w:t xml:space="preserve">) </w:t>
      </w:r>
      <w:r w:rsidRPr="00B87686">
        <w:t>оплатить обозначенную в векселе сумму в указанный срок третьему лицу</w:t>
      </w:r>
      <w:r w:rsidR="00B87686">
        <w:t xml:space="preserve"> (</w:t>
      </w:r>
      <w:r w:rsidRPr="00B87686">
        <w:t>ремитенту</w:t>
      </w:r>
      <w:r w:rsidR="00B87686" w:rsidRPr="00B87686">
        <w:t xml:space="preserve">). </w:t>
      </w:r>
      <w:r w:rsidRPr="00B87686">
        <w:t>Лицо, выписавшее переводной вексель, называется векселедателем или трассантом</w:t>
      </w:r>
      <w:r w:rsidR="00B87686" w:rsidRPr="00B87686">
        <w:t>.</w:t>
      </w:r>
    </w:p>
    <w:p w:rsidR="00B87686" w:rsidRDefault="00E75D14" w:rsidP="00B87686">
      <w:r w:rsidRPr="00B87686">
        <w:t>Особенностью выпуска и обращения переводного векселя является то, что он не может служить простым средством платежа</w:t>
      </w:r>
      <w:r w:rsidR="00B87686" w:rsidRPr="00B87686">
        <w:t xml:space="preserve">. </w:t>
      </w:r>
      <w:r w:rsidRPr="00B87686">
        <w:t>Ремитент, получая вексель, не уверен, что указанный в нём трассат произведет оплату</w:t>
      </w:r>
      <w:r w:rsidR="00B87686" w:rsidRPr="00B87686">
        <w:t xml:space="preserve">. </w:t>
      </w:r>
      <w:r w:rsidRPr="00B87686">
        <w:t>Поэтому первоначально необходимо убедиться, что должник согласен оплатить вексельную сумму</w:t>
      </w:r>
      <w:r w:rsidR="00B87686" w:rsidRPr="00B87686">
        <w:t xml:space="preserve">. </w:t>
      </w:r>
      <w:r w:rsidRPr="00B87686">
        <w:t>Для этого вексель направляется трассату для акцепта</w:t>
      </w:r>
      <w:r w:rsidR="00B87686" w:rsidRPr="00B87686">
        <w:t>.</w:t>
      </w:r>
    </w:p>
    <w:p w:rsidR="00B87686" w:rsidRDefault="00E75D14" w:rsidP="00B87686">
      <w:r w:rsidRPr="00B87686">
        <w:t>Акцепт</w:t>
      </w:r>
      <w:r w:rsidR="00B87686" w:rsidRPr="00B87686">
        <w:t xml:space="preserve"> - </w:t>
      </w:r>
      <w:r w:rsidRPr="00B87686">
        <w:t>это письменное согласие на выполнение обязательств по векселю</w:t>
      </w:r>
      <w:r w:rsidR="00B87686">
        <w:t>.</w:t>
      </w:r>
    </w:p>
    <w:p w:rsidR="00B87686" w:rsidRDefault="00E75D14" w:rsidP="00B87686">
      <w:r w:rsidRPr="00B87686">
        <w:t>Свое согласие трассат подтверждает надписью на лицевой стороне векселя</w:t>
      </w:r>
      <w:r w:rsidR="00B87686">
        <w:t>.</w:t>
      </w:r>
    </w:p>
    <w:p w:rsidR="00B87686" w:rsidRDefault="00E75D14" w:rsidP="00B87686">
      <w:r w:rsidRPr="00B87686">
        <w:t>Следует отметить, что владелец векселя может передать его другому лицу и без акцепта плательщика</w:t>
      </w:r>
      <w:r w:rsidR="00B87686" w:rsidRPr="00B87686">
        <w:t xml:space="preserve">. </w:t>
      </w:r>
      <w:r w:rsidRPr="00B87686">
        <w:t>Однако неакцептованный вексель пользуется значительно меньшей популярностью по сравнению с векселями, по которым получен акцепт плательщика</w:t>
      </w:r>
      <w:r w:rsidR="00B87686" w:rsidRPr="00B87686">
        <w:t xml:space="preserve">. </w:t>
      </w:r>
      <w:r w:rsidRPr="00B87686">
        <w:t>Акцепт может быть полным или частичным</w:t>
      </w:r>
      <w:r w:rsidR="00B87686" w:rsidRPr="00B87686">
        <w:t>.</w:t>
      </w:r>
    </w:p>
    <w:p w:rsidR="00B87686" w:rsidRDefault="00E75D14" w:rsidP="00B87686">
      <w:r w:rsidRPr="00B87686">
        <w:t>Полный акцепт означает, что трассат полностью выплатит указанную в векселе сумму в установленные сроки</w:t>
      </w:r>
      <w:r w:rsidR="00B87686" w:rsidRPr="00B87686">
        <w:t>.</w:t>
      </w:r>
    </w:p>
    <w:p w:rsidR="00B87686" w:rsidRDefault="00E75D14" w:rsidP="00B87686">
      <w:r w:rsidRPr="00B87686">
        <w:t>Частичный акцепт означает, что должник согласен выплатить только часть суммы</w:t>
      </w:r>
      <w:r w:rsidR="00B87686" w:rsidRPr="00B87686">
        <w:t xml:space="preserve">. </w:t>
      </w:r>
      <w:r w:rsidRPr="00B87686">
        <w:t>Следовательно, другая часть суммы платежа остается неакцептованной</w:t>
      </w:r>
      <w:r w:rsidR="00B87686">
        <w:t>.</w:t>
      </w:r>
    </w:p>
    <w:p w:rsidR="00B87686" w:rsidRDefault="00E75D14" w:rsidP="00B87686">
      <w:r w:rsidRPr="00B87686">
        <w:t>Векселедержатель должен согласиться с частичным акцептом и направить протест против неакцептованной суммы</w:t>
      </w:r>
      <w:r w:rsidR="00B87686" w:rsidRPr="00B87686">
        <w:t xml:space="preserve">. </w:t>
      </w:r>
      <w:r w:rsidRPr="00B87686">
        <w:t>Таким образом, векселедержатель имеет право предъявить регрессивные требования ко всем обязанным по векселю лицам</w:t>
      </w:r>
      <w:r w:rsidR="00B87686" w:rsidRPr="00B87686">
        <w:t xml:space="preserve">. </w:t>
      </w:r>
      <w:r w:rsidRPr="00B87686">
        <w:t>Данный порядок предусмотрен Женевской конвенцией</w:t>
      </w:r>
      <w:r w:rsidR="00B87686" w:rsidRPr="00B87686">
        <w:t>.</w:t>
      </w:r>
    </w:p>
    <w:p w:rsidR="00B87686" w:rsidRDefault="00E75D14" w:rsidP="00B87686">
      <w:r w:rsidRPr="00B87686">
        <w:t>Вексель может быть предъявлен к акцепту в любое время, начиная со дня его выдачи и до даты наступления платежа</w:t>
      </w:r>
      <w:r w:rsidR="00B87686" w:rsidRPr="00B87686">
        <w:t xml:space="preserve">. </w:t>
      </w:r>
      <w:r w:rsidRPr="00B87686">
        <w:t>Допускается предъявление векселя к акцепту и после истечения срока платежа</w:t>
      </w:r>
      <w:r w:rsidR="00B87686" w:rsidRPr="00B87686">
        <w:t xml:space="preserve">. </w:t>
      </w:r>
      <w:r w:rsidRPr="00B87686">
        <w:t>Должник отвечает по векселю точно так же, как принял бы вексель до наступления срока платежа</w:t>
      </w:r>
      <w:r w:rsidR="00B87686" w:rsidRPr="00B87686">
        <w:t>.</w:t>
      </w:r>
    </w:p>
    <w:p w:rsidR="00B87686" w:rsidRDefault="00E75D14" w:rsidP="00B87686">
      <w:r w:rsidRPr="00B87686">
        <w:t>Обращение векселей</w:t>
      </w:r>
      <w:r w:rsidR="00B87686" w:rsidRPr="00B87686">
        <w:t>.</w:t>
      </w:r>
    </w:p>
    <w:p w:rsidR="00B87686" w:rsidRDefault="00E75D14" w:rsidP="00B87686">
      <w:r w:rsidRPr="00B87686">
        <w:t>Переход векселя от одного лица к другому осуществляется путем совершения на оборотной стороне векселя передаточной надписи, которая называется индоссаментом</w:t>
      </w:r>
      <w:r w:rsidR="00B87686" w:rsidRPr="00B87686">
        <w:t xml:space="preserve">. </w:t>
      </w:r>
      <w:r w:rsidRPr="00B87686">
        <w:t>Лицо, совершающее передаточную надпись, называют индоссантом, а лицо, получившее в результате этой надписи вексель в свое пользование,</w:t>
      </w:r>
      <w:r w:rsidR="00B87686" w:rsidRPr="00B87686">
        <w:t xml:space="preserve"> - </w:t>
      </w:r>
      <w:r w:rsidRPr="00B87686">
        <w:t>индоссатом</w:t>
      </w:r>
      <w:r w:rsidR="00B87686" w:rsidRPr="00B87686">
        <w:t>.</w:t>
      </w:r>
    </w:p>
    <w:p w:rsidR="00B87686" w:rsidRDefault="00E75D14" w:rsidP="00B87686">
      <w:r w:rsidRPr="00B87686">
        <w:t>В зависимости от объема сведений, содержащихся в передаточной надписи, различают несколько видов индоссаментов</w:t>
      </w:r>
      <w:r w:rsidR="00B87686" w:rsidRPr="00B87686">
        <w:t>.</w:t>
      </w:r>
    </w:p>
    <w:p w:rsidR="00B87686" w:rsidRDefault="00E75D14" w:rsidP="00B87686">
      <w:r w:rsidRPr="00B87686">
        <w:t>Во-первых, индоссамент может быть полным или частичным</w:t>
      </w:r>
      <w:r w:rsidR="00B87686" w:rsidRPr="00B87686">
        <w:t xml:space="preserve">. </w:t>
      </w:r>
      <w:r w:rsidRPr="00B87686">
        <w:t>Полный индоссамент переносит на индоссата все права по векселю</w:t>
      </w:r>
      <w:r w:rsidR="00B87686" w:rsidRPr="00B87686">
        <w:t xml:space="preserve">. </w:t>
      </w:r>
      <w:r w:rsidRPr="00B87686">
        <w:t>Частичный индоссамент переносит только часть прав</w:t>
      </w:r>
      <w:r w:rsidR="00B87686" w:rsidRPr="00B87686">
        <w:t xml:space="preserve">. </w:t>
      </w:r>
      <w:r w:rsidRPr="00B87686">
        <w:t>По российскому законодательству частичный индоссамент запрещен</w:t>
      </w:r>
      <w:r w:rsidR="00B87686" w:rsidRPr="00B87686">
        <w:t>.</w:t>
      </w:r>
    </w:p>
    <w:p w:rsidR="00B87686" w:rsidRDefault="00E75D14" w:rsidP="00B87686">
      <w:r w:rsidRPr="00B87686">
        <w:t>Во-вторых, индоссамент может быть бланковым, именным или препоручительным</w:t>
      </w:r>
      <w:r w:rsidR="00B87686" w:rsidRPr="00B87686">
        <w:t xml:space="preserve">. </w:t>
      </w:r>
      <w:r w:rsidRPr="00B87686">
        <w:t>При бланковом индоссаменте в передаточной надписи не указывается лицо, по приказу которого должен быть совершен платеж</w:t>
      </w:r>
      <w:r w:rsidR="00B87686" w:rsidRPr="00B87686">
        <w:t xml:space="preserve">. </w:t>
      </w:r>
      <w:r w:rsidRPr="00B87686">
        <w:t>В этом случае вексель считается выданным на предъявителя</w:t>
      </w:r>
      <w:r w:rsidR="00B87686" w:rsidRPr="00B87686">
        <w:t xml:space="preserve">. </w:t>
      </w:r>
      <w:r w:rsidRPr="00B87686">
        <w:t>Индоссант подписывает вексель и передает его новому владельцу</w:t>
      </w:r>
      <w:r w:rsidR="00B87686" w:rsidRPr="00B87686">
        <w:t xml:space="preserve">. </w:t>
      </w:r>
      <w:r w:rsidRPr="00B87686">
        <w:t>Если происходит дальнейшая передача векселя, то переход осуществляется путем простого вручения без новой передаточной надписи</w:t>
      </w:r>
      <w:r w:rsidR="00B87686" w:rsidRPr="00B87686">
        <w:t xml:space="preserve">. </w:t>
      </w:r>
      <w:r w:rsidRPr="00B87686">
        <w:t>Вексель на предъявителя можно сделать именным, если в передаточной надписи указать лицо, по приказу которого совершается платеж</w:t>
      </w:r>
      <w:r w:rsidR="00B87686" w:rsidRPr="00B87686">
        <w:t>.</w:t>
      </w:r>
    </w:p>
    <w:p w:rsidR="00B87686" w:rsidRDefault="00E75D14" w:rsidP="00B87686">
      <w:r w:rsidRPr="00B87686">
        <w:t>Именной</w:t>
      </w:r>
      <w:r w:rsidR="00B87686">
        <w:t xml:space="preserve"> (</w:t>
      </w:r>
      <w:r w:rsidRPr="00B87686">
        <w:t>полный</w:t>
      </w:r>
      <w:r w:rsidR="00B87686" w:rsidRPr="00B87686">
        <w:t xml:space="preserve">) </w:t>
      </w:r>
      <w:r w:rsidRPr="00B87686">
        <w:t>индоссамент означает, что при совершении передаточной надписи в векселе указано лицо, которому он передается</w:t>
      </w:r>
      <w:r w:rsidR="00B87686" w:rsidRPr="00B87686">
        <w:t xml:space="preserve">. </w:t>
      </w:r>
      <w:r w:rsidRPr="00B87686">
        <w:t>В этом случае мы имеем именную ценную бумагу</w:t>
      </w:r>
      <w:r w:rsidR="00B87686" w:rsidRPr="00B87686">
        <w:t>.</w:t>
      </w:r>
    </w:p>
    <w:p w:rsidR="00B87686" w:rsidRDefault="00E75D14" w:rsidP="00B87686">
      <w:r w:rsidRPr="00B87686">
        <w:t>Препоручительный индоссамент совершается с целью доверить лицу, указанному в передаточной надписи, произвести определенные операции</w:t>
      </w:r>
      <w:r w:rsidR="00B87686" w:rsidRPr="00B87686">
        <w:t xml:space="preserve">. </w:t>
      </w:r>
      <w:r w:rsidRPr="00B87686">
        <w:t xml:space="preserve">Обычно поручение дается банку на получение денежных средств от плательщика, на осуществление протеста при неплатеже, на передачу векселя в залог и </w:t>
      </w:r>
      <w:r w:rsidR="00B87686">
        <w:t>т.д.</w:t>
      </w:r>
    </w:p>
    <w:p w:rsidR="00B87686" w:rsidRDefault="00E75D14" w:rsidP="00B87686">
      <w:r w:rsidRPr="00B87686">
        <w:t>Получатель векселя по препоручительному индоссаменту не становится собственником векселя, он только выполняет указанное в передаточной надписи поручение</w:t>
      </w:r>
      <w:r w:rsidR="00B87686" w:rsidRPr="00B87686">
        <w:t xml:space="preserve">. </w:t>
      </w:r>
      <w:r w:rsidRPr="00B87686">
        <w:t>Все дальнейшие индоссаменты на векселе тоже могут быть только препоручительными</w:t>
      </w:r>
      <w:r w:rsidR="00B87686" w:rsidRPr="00B87686">
        <w:t>.</w:t>
      </w:r>
    </w:p>
    <w:p w:rsidR="00B87686" w:rsidRDefault="00E75D14" w:rsidP="00B87686">
      <w:r w:rsidRPr="00B87686">
        <w:t>В-третьих, индоссамент может быть оборотным и безоборотным</w:t>
      </w:r>
      <w:r w:rsidR="00B87686" w:rsidRPr="00B87686">
        <w:t xml:space="preserve">. </w:t>
      </w:r>
      <w:r w:rsidRPr="00B87686">
        <w:t>Совершая оборотный индоссамент, векселедержатель не делает никаких оговорок по поводу векселя</w:t>
      </w:r>
      <w:r w:rsidR="00B87686" w:rsidRPr="00B87686">
        <w:t xml:space="preserve">. </w:t>
      </w:r>
      <w:r w:rsidRPr="00B87686">
        <w:t>Это означает, что в случае регресса он полностью отвечает по вексельным обязательствам</w:t>
      </w:r>
      <w:r w:rsidR="00B87686" w:rsidRPr="00B87686">
        <w:t>.</w:t>
      </w:r>
    </w:p>
    <w:p w:rsidR="00B87686" w:rsidRDefault="00E75D14" w:rsidP="00B87686">
      <w:r w:rsidRPr="00B87686">
        <w:t>Безоборотный индоссамент совершается с определенной оговоркой</w:t>
      </w:r>
      <w:r w:rsidR="00B87686">
        <w:t xml:space="preserve"> "</w:t>
      </w:r>
      <w:r w:rsidRPr="00B87686">
        <w:t>без оборота на меня</w:t>
      </w:r>
      <w:r w:rsidR="00B87686">
        <w:t>", т.е.</w:t>
      </w:r>
      <w:r w:rsidR="00B87686" w:rsidRPr="00B87686">
        <w:t xml:space="preserve"> </w:t>
      </w:r>
      <w:r w:rsidRPr="00B87686">
        <w:t>в случае неакцепта или неуплаты должником вексельной суммы лицо, совершившее безоборотный индоссамент, снимает с себя ответственность по вексельным обязательствам</w:t>
      </w:r>
      <w:r w:rsidR="00B87686" w:rsidRPr="00B87686">
        <w:t xml:space="preserve">. </w:t>
      </w:r>
      <w:r w:rsidRPr="00B87686">
        <w:t>В этом случае солидарную ответственность по векселю несут все лица, сделавшие оборотный индоссамент</w:t>
      </w:r>
      <w:r w:rsidR="00B87686" w:rsidRPr="00B87686">
        <w:t>.</w:t>
      </w:r>
    </w:p>
    <w:p w:rsidR="00B87686" w:rsidRDefault="00E75D14" w:rsidP="00B87686">
      <w:r w:rsidRPr="00B87686">
        <w:t>Векселю свойственна обращаемость, которая выражается в</w:t>
      </w:r>
      <w:r w:rsidR="00B87686">
        <w:t xml:space="preserve"> </w:t>
      </w:r>
      <w:r w:rsidRPr="00B87686">
        <w:t>возможности многократной передачи векселя от</w:t>
      </w:r>
      <w:r w:rsidR="00B87686">
        <w:t xml:space="preserve"> </w:t>
      </w:r>
      <w:r w:rsidRPr="00B87686">
        <w:t>одного лица к</w:t>
      </w:r>
      <w:r w:rsidR="00B87686">
        <w:t xml:space="preserve"> </w:t>
      </w:r>
      <w:r w:rsidRPr="00B87686">
        <w:t>другому посредством выполнения передаточной надписи, что позволяет его широко использовать вместо наличных денег</w:t>
      </w:r>
      <w:r w:rsidR="00B87686" w:rsidRPr="00B87686">
        <w:t xml:space="preserve">. </w:t>
      </w:r>
      <w:r w:rsidRPr="00B87686">
        <w:t xml:space="preserve">Векселю свойственна срочность, </w:t>
      </w:r>
      <w:r w:rsidR="00B87686">
        <w:t>т.е.</w:t>
      </w:r>
      <w:r w:rsidR="00B87686" w:rsidRPr="00B87686">
        <w:t xml:space="preserve"> </w:t>
      </w:r>
      <w:r w:rsidRPr="00B87686">
        <w:t>продолжительность существования вексельного обязательства заранее оговаривается либо устанавливается на</w:t>
      </w:r>
      <w:r w:rsidR="00B87686">
        <w:t xml:space="preserve"> </w:t>
      </w:r>
      <w:r w:rsidRPr="00B87686">
        <w:t>основании вексельного законодательства</w:t>
      </w:r>
      <w:r w:rsidR="00B87686" w:rsidRPr="00B87686">
        <w:t xml:space="preserve">. </w:t>
      </w:r>
      <w:r w:rsidRPr="00B87686">
        <w:t>Подводя итог, назовем ряд причин, сдерживающих широкое распространение векселей</w:t>
      </w:r>
      <w:r w:rsidR="00B87686">
        <w:t>:</w:t>
      </w:r>
    </w:p>
    <w:p w:rsidR="00B87686" w:rsidRDefault="00E75D14" w:rsidP="00B87686">
      <w:r w:rsidRPr="00B87686">
        <w:t>частое отсутствие должного доверия к деловым партнерам</w:t>
      </w:r>
      <w:r w:rsidR="00B87686">
        <w:t>;</w:t>
      </w:r>
    </w:p>
    <w:p w:rsidR="00B87686" w:rsidRDefault="00E75D14" w:rsidP="00B87686">
      <w:r w:rsidRPr="00B87686">
        <w:t>неуверенность в возможности предельно быстрого удовлетворения своих интересов через процедуру судебного рассмотрения исков о погашении векселей</w:t>
      </w:r>
      <w:r w:rsidR="00B87686">
        <w:t xml:space="preserve"> (</w:t>
      </w:r>
      <w:r w:rsidRPr="00B87686">
        <w:t>если партнеры оказались нечестными, либо неплатежеспособными</w:t>
      </w:r>
      <w:r w:rsidR="00B87686" w:rsidRPr="00B87686">
        <w:t>)</w:t>
      </w:r>
      <w:r w:rsidR="00B87686">
        <w:t>;</w:t>
      </w:r>
    </w:p>
    <w:p w:rsidR="00B87686" w:rsidRDefault="00E75D14" w:rsidP="00B87686">
      <w:r w:rsidRPr="00B87686">
        <w:t>отсутствие ускоренной процедуры внеочередного судебного рассмотрения исков о погашении векселей</w:t>
      </w:r>
      <w:r w:rsidR="00B87686">
        <w:t>;</w:t>
      </w:r>
    </w:p>
    <w:p w:rsidR="00B87686" w:rsidRDefault="00E75D14" w:rsidP="00B87686">
      <w:r w:rsidRPr="00B87686">
        <w:t>отсутствие прецедентов регрессных требований по векселям в случае отказа векселедателей от платежа</w:t>
      </w:r>
      <w:r w:rsidR="00B87686">
        <w:t>;</w:t>
      </w:r>
    </w:p>
    <w:p w:rsidR="00B87686" w:rsidRDefault="00E75D14" w:rsidP="00B87686">
      <w:r w:rsidRPr="00B87686">
        <w:t>опасения получить фальшивый вексель</w:t>
      </w:r>
      <w:r w:rsidR="00B87686" w:rsidRPr="00B87686">
        <w:t xml:space="preserve"> - </w:t>
      </w:r>
      <w:r w:rsidRPr="00B87686">
        <w:t>известны подделки векселей Сбербанка, Ленэнерго и др</w:t>
      </w:r>
      <w:r w:rsidR="00B87686">
        <w:t>.</w:t>
      </w:r>
    </w:p>
    <w:p w:rsidR="00E75D14" w:rsidRPr="00B87686" w:rsidRDefault="00E75D14" w:rsidP="00B87686">
      <w:bookmarkStart w:id="0" w:name="_GoBack"/>
      <w:bookmarkEnd w:id="0"/>
    </w:p>
    <w:sectPr w:rsidR="00E75D14" w:rsidRPr="00B87686" w:rsidSect="00B8768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16" w:rsidRDefault="003D5016">
      <w:r>
        <w:separator/>
      </w:r>
    </w:p>
  </w:endnote>
  <w:endnote w:type="continuationSeparator" w:id="0">
    <w:p w:rsidR="003D5016" w:rsidRDefault="003D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86" w:rsidRDefault="00B8768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86" w:rsidRDefault="00B8768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16" w:rsidRDefault="003D5016">
      <w:r>
        <w:separator/>
      </w:r>
    </w:p>
  </w:footnote>
  <w:footnote w:type="continuationSeparator" w:id="0">
    <w:p w:rsidR="003D5016" w:rsidRDefault="003D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86" w:rsidRDefault="00A73492" w:rsidP="00B87686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B87686" w:rsidRDefault="00B87686" w:rsidP="00B8768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86" w:rsidRDefault="00B876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D14"/>
    <w:rsid w:val="003D5016"/>
    <w:rsid w:val="00424B19"/>
    <w:rsid w:val="00496AE0"/>
    <w:rsid w:val="005A1621"/>
    <w:rsid w:val="007375E9"/>
    <w:rsid w:val="00A73492"/>
    <w:rsid w:val="00A75640"/>
    <w:rsid w:val="00B02F02"/>
    <w:rsid w:val="00B87686"/>
    <w:rsid w:val="00CF7C5A"/>
    <w:rsid w:val="00D12A77"/>
    <w:rsid w:val="00E75D14"/>
    <w:rsid w:val="00E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BB03B6-DC15-4F4F-8356-51A8CA0E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768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768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768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8768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768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768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768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768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768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B87686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B876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B876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87686"/>
    <w:rPr>
      <w:vertAlign w:val="superscript"/>
    </w:rPr>
  </w:style>
  <w:style w:type="paragraph" w:styleId="a8">
    <w:name w:val="Body Text"/>
    <w:basedOn w:val="a2"/>
    <w:link w:val="ab"/>
    <w:uiPriority w:val="99"/>
    <w:rsid w:val="00B87686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B8768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8768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876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8768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8768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8768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8768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8768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8768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8768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8768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B87686"/>
  </w:style>
  <w:style w:type="character" w:customStyle="1" w:styleId="af6">
    <w:name w:val="номер страницы"/>
    <w:uiPriority w:val="99"/>
    <w:rsid w:val="00B87686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8768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876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8768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768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7686"/>
    <w:pPr>
      <w:ind w:left="958"/>
    </w:pPr>
  </w:style>
  <w:style w:type="paragraph" w:styleId="23">
    <w:name w:val="Body Text Indent 2"/>
    <w:basedOn w:val="a2"/>
    <w:link w:val="24"/>
    <w:uiPriority w:val="99"/>
    <w:rsid w:val="00B8768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8768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B8768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8768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7686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7686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8768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8768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76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87686"/>
    <w:rPr>
      <w:i/>
      <w:iCs/>
    </w:rPr>
  </w:style>
  <w:style w:type="paragraph" w:customStyle="1" w:styleId="af9">
    <w:name w:val="ТАБЛИЦА"/>
    <w:next w:val="a2"/>
    <w:autoRedefine/>
    <w:uiPriority w:val="99"/>
    <w:rsid w:val="00B8768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8768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87686"/>
  </w:style>
  <w:style w:type="table" w:customStyle="1" w:styleId="15">
    <w:name w:val="Стиль таблицы1"/>
    <w:uiPriority w:val="99"/>
    <w:rsid w:val="00B87686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8768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8768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8768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8768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8768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 ВЫПУСКА И ОБРАЩЕНИЯ ПРОСТОГО И ПЕРЕВОДНОГО ВЕКСЕЛЯ</vt:lpstr>
    </vt:vector>
  </TitlesOfParts>
  <Company>Reanimator Extreme Edition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ВЫПУСКА И ОБРАЩЕНИЯ ПРОСТОГО И ПЕРЕВОДНОГО ВЕКСЕЛЯ</dc:title>
  <dc:subject/>
  <dc:creator>Admin</dc:creator>
  <cp:keywords/>
  <dc:description/>
  <cp:lastModifiedBy>admin</cp:lastModifiedBy>
  <cp:revision>2</cp:revision>
  <dcterms:created xsi:type="dcterms:W3CDTF">2014-03-01T12:10:00Z</dcterms:created>
  <dcterms:modified xsi:type="dcterms:W3CDTF">2014-03-01T12:10:00Z</dcterms:modified>
</cp:coreProperties>
</file>