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B4" w:rsidRDefault="00380FEC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  Меркантилистские теории отличает фиксация на торговом балансе и стремление к поддержанию дисбаланса торговли в длительной перспективе. Платежный баланс всегда должен быть сбалансирован, т.к. это не более чем бухгалтерское равенство дебета и кредита. Но торговый баланс не обязательно должен быть уравновешен. Страна получает доход от международного обмена посредством: (1) зримого экспорта товаров, (2) незримого экспорта услуг, (3) экспорта драгоценных металлов или (4) импорта капитала в форме иностранных инвестиций внутри страны, либо прибылей на свои инвестиции за рубежом, либо иностранных займов. Страна расходует на международный обмен: (1) зримый экспорт, (2) незримый импорт, (3) импорт драгоценный металлов и (4) экспорт капитала в виде заграничных активов. Эти четыре статьи в совокупности всегда уравновешены. Если этого не происходит с первыми тремя статьями, разница проявляется в экспорте или импорте капитала. Когда меркантилисты говорят об активном сальдо торгового баланса, они все-таки имеют в виду превышение экспорта, зримого и незримого, над импортом, призывая либо к привлечению золота в страну, либо к предоставлению кредита зарубежным странам, т.е. экспорту капитала. Иными словами, они не проводили четкого различения между тем, что сегодня называется "счет текущих операций" и "счет движения капиталов" в платежном балансе.</w:t>
      </w:r>
    </w:p>
    <w:p w:rsidR="00FB29B4" w:rsidRDefault="00380FEC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  Классики никогда не сомневались в том, что аргументы их предшественников в пользу постоянного превышения экспорта над импортом основывались на смысловой путанице: чего бы не надеялись достичь меркантилисты активным торговым балансом, все это давало лишь мимолетный эффект. Еще в 1630 г. Томас Ман понял, что приток в страну драгоценных металлов поднимает внутренние цены, и доктрина "продать дороже, купить дешевле" оборачивается против самой страны. Кантильон и Юм вновь сформулировали этот вывод в </w:t>
      </w:r>
      <w:r>
        <w:rPr>
          <w:rFonts w:ascii="Courier New" w:hAnsi="Courier New"/>
          <w:b/>
          <w:sz w:val="24"/>
          <w:lang w:val="en-US"/>
        </w:rPr>
        <w:t>XVIII</w:t>
      </w:r>
      <w:r>
        <w:rPr>
          <w:rFonts w:ascii="Courier New" w:hAnsi="Courier New"/>
          <w:b/>
          <w:sz w:val="24"/>
        </w:rPr>
        <w:t xml:space="preserve"> в. и примерно за столетие "механизм золотоденежных потоков" обеспечил окончательное опровержение меркантилистических принципов. Аргументы были такими: чисто автоматические механизмы способствуют "естественному распределению денежных металлов" между торгующими странами и установлению таких уровней внутренних цен в них, что экспорт каждой страны становится равным ее импорту. Любые дополнительные объемы добычи золота в отдельной стране повысят уровень внутренних цен относительно других стран. В результате превышение импорта над экспортом должно оплачиваться оттоком золота. Процесс продолжается до тех пор, пока во всех торгующих странах не установится новое равновесие между импортом и экспортом, соответствующее более высокому предложению золота. Так как внешняя торговля и золота подобны воде в двух сообщающихся сосудах, которая постоянно стремится находится на одном уровне, политика погони за активным торговым балансом сама себя отменяет.</w:t>
      </w:r>
    </w:p>
    <w:p w:rsidR="00FB29B4" w:rsidRDefault="00380FEC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  Все элементы, составляющие эту теорию саморегулирующегося механизма распределения драгоценных металлов, были известны уже в </w:t>
      </w:r>
      <w:r>
        <w:rPr>
          <w:rFonts w:ascii="Courier New" w:hAnsi="Courier New"/>
          <w:b/>
          <w:sz w:val="24"/>
          <w:lang w:val="en-US"/>
        </w:rPr>
        <w:t>XVII</w:t>
      </w:r>
      <w:r>
        <w:rPr>
          <w:rFonts w:ascii="Courier New" w:hAnsi="Courier New"/>
          <w:b/>
          <w:sz w:val="24"/>
        </w:rPr>
        <w:t xml:space="preserve"> в. Томас Ман показал, что любое чистое пассивное или активное сальдо баланса по текущим операциям, зримым и незримым, должно финансироваться оттоком или притоком драгоценных металлов и, следовательно, объемы экспорта и импорта зависят от соотношения уровней цен в различных странах. В 1960 г. Джон Локк ясно показал, что цены изменяются в определенной пропорции к количеству денег в обращении. Требовалось только связать эти мысли воедино и прийти к выводу, что нет никакой необходимости заботится о долгосрочном состоянии торгового баланса. Хотя Адам Смит и не ссылался на механизм золотоденежных потоков в "Богатстве народов", как отмечает Вайнер, это одна из великих загадок истории экономической мысли, так как Смит обсуждал этот вопрос в своих более ранних "Лекциях", именно эти аргументы побудили классиков отвергнуть писания меркантилистов как более путаные и внутренне противоречивые.</w:t>
      </w:r>
    </w:p>
    <w:p w:rsidR="00FB29B4" w:rsidRDefault="00380FEC">
      <w:pPr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  Классики могли бы добавить, что энергичный протекционистский дух того времени подвиг многих меркантилистов использовать доводы "баланса труда" в пользу ограничений на импорт вне всякой связи с торговым балансом или же взывать к последнему лишь для того, чтобы усилить первый. Считалось общепринятым, что импорт должен состоять из сырья и полуфабрикатов, произведенных с интенсивным применением капитала, тогда как экспорт - из конечного продукта, произведенного с интенсивным применением труда, на том основании, что чистый экспорт труда поддерживает занятость внутри страны и увеличивает "доход от зарубежных источников" (</w:t>
      </w:r>
      <w:r>
        <w:rPr>
          <w:rFonts w:ascii="Courier New" w:hAnsi="Courier New"/>
          <w:b/>
          <w:sz w:val="24"/>
          <w:lang w:val="en-US"/>
        </w:rPr>
        <w:t>foreign-paid incomes).</w:t>
      </w:r>
      <w:r>
        <w:rPr>
          <w:rFonts w:ascii="Courier New" w:hAnsi="Courier New"/>
          <w:b/>
          <w:sz w:val="24"/>
        </w:rPr>
        <w:t xml:space="preserve"> К этому знакомому протекционистскому аргументу добавлялись доводы военного и стратегического толка, а также о защите неокрепшей промышленности. Следующему поколению, наряду с автоматическим механизмом золотоденежных потоков открывшему закон сравнительных издержек, это представлялось ошибкой, помноженной на другую ошибку.</w:t>
      </w:r>
    </w:p>
    <w:p w:rsidR="00FB29B4" w:rsidRDefault="00FB29B4">
      <w:pPr>
        <w:jc w:val="both"/>
        <w:rPr>
          <w:rFonts w:ascii="Courier New" w:hAnsi="Courier New"/>
          <w:b/>
          <w:sz w:val="24"/>
        </w:rPr>
      </w:pPr>
    </w:p>
    <w:p w:rsidR="00FB29B4" w:rsidRDefault="00FB29B4">
      <w:pPr>
        <w:jc w:val="both"/>
        <w:rPr>
          <w:rFonts w:ascii="Courier New" w:hAnsi="Courier New"/>
          <w:b/>
          <w:sz w:val="24"/>
        </w:rPr>
      </w:pPr>
    </w:p>
    <w:p w:rsidR="00FB29B4" w:rsidRDefault="00FB29B4">
      <w:pPr>
        <w:jc w:val="both"/>
        <w:rPr>
          <w:rFonts w:ascii="Courier New" w:hAnsi="Courier New"/>
          <w:b/>
          <w:sz w:val="24"/>
        </w:rPr>
      </w:pPr>
    </w:p>
    <w:p w:rsidR="00FB29B4" w:rsidRDefault="00FB29B4">
      <w:pPr>
        <w:jc w:val="both"/>
        <w:rPr>
          <w:rFonts w:ascii="Courier New" w:hAnsi="Courier New"/>
          <w:b/>
          <w:sz w:val="24"/>
        </w:rPr>
      </w:pPr>
    </w:p>
    <w:p w:rsidR="00FB29B4" w:rsidRDefault="00FB29B4">
      <w:pPr>
        <w:jc w:val="both"/>
        <w:rPr>
          <w:rFonts w:ascii="Courier New" w:hAnsi="Courier New"/>
          <w:b/>
          <w:sz w:val="24"/>
        </w:rPr>
      </w:pPr>
    </w:p>
    <w:p w:rsidR="00FB29B4" w:rsidRDefault="00380FEC">
      <w:pPr>
        <w:jc w:val="both"/>
        <w:rPr>
          <w:b/>
        </w:rPr>
      </w:pPr>
      <w:r>
        <w:rPr>
          <w:rFonts w:ascii="Courier New" w:hAnsi="Courier New"/>
          <w:b/>
          <w:sz w:val="24"/>
        </w:rPr>
        <w:t xml:space="preserve"> </w:t>
      </w:r>
      <w:bookmarkStart w:id="0" w:name="_GoBack"/>
      <w:bookmarkEnd w:id="0"/>
    </w:p>
    <w:sectPr w:rsidR="00FB29B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tinaScriptC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FEC"/>
    <w:rsid w:val="00380FEC"/>
    <w:rsid w:val="00B61091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85357-D0B6-4CF6-AA7E-F1A0C7C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BetinaScriptC" w:hAnsi="BetinaScriptC"/>
      <w:sz w:val="24"/>
    </w:rPr>
  </w:style>
  <w:style w:type="paragraph" w:styleId="2">
    <w:name w:val="envelope return"/>
    <w:basedOn w:val="a"/>
    <w:semiHidden/>
    <w:pPr>
      <w:framePr w:w="4320" w:h="1440" w:hRule="exact" w:hSpace="180" w:wrap="auto" w:hAnchor="page" w:x="1946" w:yAlign="top"/>
    </w:pPr>
    <w:rPr>
      <w:rFonts w:ascii="BetinaScriptC" w:hAnsi="BetinaScript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4105</Characters>
  <Application>Microsoft Office Word</Application>
  <DocSecurity>0</DocSecurity>
  <Lines>34</Lines>
  <Paragraphs>9</Paragraphs>
  <ScaleCrop>false</ScaleCrop>
  <Company> 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John Deacon</dc:creator>
  <cp:keywords/>
  <dc:description/>
  <cp:lastModifiedBy>admin</cp:lastModifiedBy>
  <cp:revision>2</cp:revision>
  <cp:lastPrinted>1998-12-20T21:01:00Z</cp:lastPrinted>
  <dcterms:created xsi:type="dcterms:W3CDTF">2014-02-12T17:21:00Z</dcterms:created>
  <dcterms:modified xsi:type="dcterms:W3CDTF">2014-02-12T17:21:00Z</dcterms:modified>
</cp:coreProperties>
</file>