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C4" w:rsidRPr="00B04F86" w:rsidRDefault="00161DC4" w:rsidP="00161DC4">
      <w:pPr>
        <w:spacing w:before="120"/>
        <w:jc w:val="center"/>
        <w:rPr>
          <w:b/>
          <w:bCs/>
          <w:sz w:val="32"/>
          <w:szCs w:val="32"/>
        </w:rPr>
      </w:pPr>
      <w:r w:rsidRPr="00B04F86">
        <w:rPr>
          <w:b/>
          <w:bCs/>
          <w:sz w:val="32"/>
          <w:szCs w:val="32"/>
        </w:rPr>
        <w:t>Мерчандайзинг: головная боль налогообложения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Можно ли нашей организации включать затраты по мерчандайзингу в расходы для целей налогообложения как расходы на рекламу? Для начала необходимо определиться, что под мерчандайзингом понимается направление маркетинга, представляющее собой обеспечение продвижения товаров в розничной торговле. Таким образом, затраты организации по мерчандайзингу являются видом затрат по продвижению товаров в сфере розничной торговли.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Рассмотрим две ситуации несения затрат по мерчандайзингу.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1. Розничная торговля магазина.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Поскольку в нормах НК РФ не раскрывается содержание понятия "реклама", то на основании п. 1 ст. 11 НК РФ необходимо обратиться к другим отраслям законодательства РФ.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В соответствии со ст. 2 Федерального закона РФ от 18.07.1995 108-ФЗ "О рекламе", реклама — распространяемая в любой форме, с помощью любых средств информация о физическом или юридическом лице, товарах, идеях и начинаниях (рекламная информация), которая предназначена для неопределенного круга лиц и призвана формировать или поддерживать интерес к этим физическому, юридическому лицу, товарам, идеям и начинаниям и способствовать реализации товаров, идей и начинаний.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Если затраты налогоплательщика по мерчандайзингу можно отнести к затратам на рекламу, исходя из приведенного понятия "реклама" в ст. 2 Федерального закона РФ от 18.07.1995 108-ФЗ "О рекламе", то такие затраты можно включить в состав расходов для целей налогообложения как расходы на рекламу на основании подп. 28 п. 1 ст. 264 НК РФ и п. 4 ст. 264 НК РФ.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Если затраты налогоплательщика по мерчандайзингу направлены на иные цели (например, на совершенствование и модернизацию витрин, торговых полок), то такие затраты подлежат включению в расходы для целей налогообложения не как расходы на рекламу, а по иным основаниям. Кроме того, условием включения затрат налогоплательщика по мерчандайзингу в расходы для целей налогообложения является соответствие этих затрат критериям, установленным в п. 1 ст. 252 НК РФ. В п. 1 ст. 252 НК РФ установлены следующие критерии: </w:t>
      </w:r>
    </w:p>
    <w:p w:rsidR="00161DC4" w:rsidRDefault="00161DC4" w:rsidP="00161DC4">
      <w:pPr>
        <w:spacing w:before="120"/>
        <w:ind w:firstLine="567"/>
        <w:jc w:val="both"/>
      </w:pPr>
      <w:r w:rsidRPr="003F7F21">
        <w:t xml:space="preserve">а) обоснованность затрат;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б) документальное подтверждение затрат. При этом расходами признаются любые затраты при условии, что они произведены для осуществления деятельности, направленной на получение дохода. Проведенный анализ относится к затратам налогоплательщика по мерчандайзингу в отношении товаров, принадлежащих ему на праве собственности и реализуемых в розничной торговле.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2. Реализация товаров оптовой организацией розничному магазину.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Организация и магазин заключают между собой договоры поставки. Организация заинтересована в увеличении сбыта своих товаров. Для этих целей организация и магазин заключают договор на оказание магазином услуг по мерчандайзингу в отношении товаров. Магазин оказывает организации услуги по мерчандайзингу, но право собственности на товар уже перешло по договору поставки к магазину. То есть, например, в рамках оказания услуг по мерчандайзингу на витринах могут быть выставлены товары с указанием информации об их поставщике (организации), но право собственности на эти товары уже принадлежит магазину. Поэтому организация, оплачивая магазину услуги по мерчандайзингу, фактически несет затраты в отношении товаров, не принадлежащих ей на праве собственности.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 xml:space="preserve">Поэтому, по нашему мнению, критерий "обоснованность расходов", указанный в п. 1 ст. 252 НК РФ, в отношении затрат организации по мерчандайзингу в данном случае не соблюдается. Соответственно включение указанных затрат в расходы для целей налогообложения в данном случае является неверным. </w:t>
      </w:r>
    </w:p>
    <w:p w:rsidR="00161DC4" w:rsidRPr="003F7F21" w:rsidRDefault="00161DC4" w:rsidP="00161DC4">
      <w:pPr>
        <w:spacing w:before="120"/>
        <w:ind w:firstLine="567"/>
        <w:jc w:val="both"/>
      </w:pPr>
      <w:r w:rsidRPr="003F7F21">
        <w:t>Исходя из вышеизложенного, чтобы в данном случае организация могла включать затраты по оплате услуг по мерчандайзингу в расходы для целей налогообложения, она может заключить с магазином агентский договор на реализацию товаров. При заключении агентского договора магазин действует от своего имени и за счет принципала. При этом право собственности на товары остается у организации до реализации конечным потребителям. При агентском договоре услуги по мерчандайзингу могут оказываться магазином как в рамках самого агентского договора, превращая его в смешанный договор, так и путем заключения отдельного договора об оказании услуг по мерчандайзингу. При этом затраты организации на оплату оказанных услуг по мерчандайзингу будут осуществляться в отношении товаров, принадлежащих ей на праве собственности. По нашему мнению, при таком оформлении отношений затраты организации по оплате магазину услуг по мерчандайзингу будут соответствовать критерию "обоснованность расходов", указанному в п. 1 ст. 252 НК РФ, и при соблюдении других условий могут учитываться для целей налогообложения.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DC4"/>
    <w:rsid w:val="00002B5A"/>
    <w:rsid w:val="0010437E"/>
    <w:rsid w:val="00161DC4"/>
    <w:rsid w:val="00316F32"/>
    <w:rsid w:val="003F7F21"/>
    <w:rsid w:val="0042598F"/>
    <w:rsid w:val="00616072"/>
    <w:rsid w:val="006A5004"/>
    <w:rsid w:val="00710178"/>
    <w:rsid w:val="007F748B"/>
    <w:rsid w:val="0081563E"/>
    <w:rsid w:val="008B35EE"/>
    <w:rsid w:val="00905CC1"/>
    <w:rsid w:val="009E1C92"/>
    <w:rsid w:val="00AD6B9F"/>
    <w:rsid w:val="00B04F86"/>
    <w:rsid w:val="00B42C45"/>
    <w:rsid w:val="00B47B6A"/>
    <w:rsid w:val="00B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C64B3F-0100-4AAB-8D91-4DE3513C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61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Мерчандайзинг: головная боль налогообложения</vt:lpstr>
    </vt:vector>
  </TitlesOfParts>
  <Company>Home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Мерчандайзинг: головная боль налогообложения</dc:title>
  <dc:subject/>
  <dc:creator>User</dc:creator>
  <cp:keywords/>
  <dc:description/>
  <cp:lastModifiedBy>admin</cp:lastModifiedBy>
  <cp:revision>2</cp:revision>
  <dcterms:created xsi:type="dcterms:W3CDTF">2014-02-14T18:14:00Z</dcterms:created>
  <dcterms:modified xsi:type="dcterms:W3CDTF">2014-02-14T18:14:00Z</dcterms:modified>
</cp:coreProperties>
</file>