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F25" w:rsidRDefault="00951F25">
      <w:pPr>
        <w:pStyle w:val="a4"/>
        <w:spacing w:line="360" w:lineRule="auto"/>
      </w:pPr>
      <w:bookmarkStart w:id="0" w:name="_Toc3522086"/>
      <w:r>
        <w:t>Министерство образования Российской Федерации</w:t>
      </w:r>
    </w:p>
    <w:p w:rsidR="00951F25" w:rsidRDefault="00951F25">
      <w:pPr>
        <w:pStyle w:val="a4"/>
        <w:spacing w:line="360" w:lineRule="auto"/>
        <w:rPr>
          <w:caps/>
          <w:sz w:val="20"/>
        </w:rPr>
      </w:pPr>
      <w:r>
        <w:rPr>
          <w:caps/>
          <w:sz w:val="20"/>
        </w:rPr>
        <w:t>Государственное образовательное учреждение высшего профеСсионального образования</w:t>
      </w:r>
    </w:p>
    <w:p w:rsidR="00951F25" w:rsidRDefault="00951F25">
      <w:pPr>
        <w:pStyle w:val="a4"/>
        <w:spacing w:line="360" w:lineRule="auto"/>
        <w:rPr>
          <w:caps/>
          <w:sz w:val="22"/>
          <w:lang w:val="en-US"/>
        </w:rPr>
      </w:pPr>
      <w:r>
        <w:rPr>
          <w:caps/>
          <w:sz w:val="22"/>
        </w:rPr>
        <w:t>Тюменский государственный нефтегазовый</w:t>
      </w:r>
    </w:p>
    <w:p w:rsidR="00951F25" w:rsidRDefault="00951F25">
      <w:pPr>
        <w:pStyle w:val="a4"/>
        <w:spacing w:line="360" w:lineRule="auto"/>
        <w:rPr>
          <w:caps/>
          <w:sz w:val="22"/>
        </w:rPr>
      </w:pPr>
      <w:r>
        <w:rPr>
          <w:caps/>
          <w:sz w:val="22"/>
        </w:rPr>
        <w:t>университет</w:t>
      </w:r>
    </w:p>
    <w:p w:rsidR="00951F25" w:rsidRDefault="00951F25">
      <w:pPr>
        <w:pStyle w:val="a4"/>
        <w:spacing w:line="360" w:lineRule="auto"/>
        <w:rPr>
          <w:sz w:val="22"/>
        </w:rPr>
      </w:pPr>
      <w:r>
        <w:rPr>
          <w:sz w:val="22"/>
        </w:rPr>
        <w:t>Институт нефти и газа</w:t>
      </w:r>
    </w:p>
    <w:p w:rsidR="00951F25" w:rsidRDefault="00951F25">
      <w:pPr>
        <w:pStyle w:val="1"/>
        <w:rPr>
          <w:b/>
        </w:rPr>
      </w:pPr>
    </w:p>
    <w:p w:rsidR="00951F25" w:rsidRDefault="00951F25"/>
    <w:p w:rsidR="00951F25" w:rsidRDefault="00951F25"/>
    <w:p w:rsidR="00951F25" w:rsidRDefault="00951F25"/>
    <w:p w:rsidR="00951F25" w:rsidRDefault="00951F25"/>
    <w:p w:rsidR="00951F25" w:rsidRDefault="00951F25">
      <w:pPr>
        <w:ind w:right="175"/>
        <w:jc w:val="right"/>
        <w:rPr>
          <w:sz w:val="22"/>
          <w:lang w:val="en-US"/>
        </w:rPr>
      </w:pPr>
      <w:r>
        <w:rPr>
          <w:sz w:val="22"/>
        </w:rPr>
        <w:t>Кафедра менеджмента</w:t>
      </w:r>
      <w:r>
        <w:rPr>
          <w:sz w:val="22"/>
          <w:lang w:val="en-US"/>
        </w:rPr>
        <w:t xml:space="preserve"> </w:t>
      </w:r>
    </w:p>
    <w:p w:rsidR="00951F25" w:rsidRDefault="00951F25">
      <w:pPr>
        <w:ind w:right="175"/>
        <w:jc w:val="right"/>
        <w:rPr>
          <w:sz w:val="22"/>
        </w:rPr>
      </w:pPr>
      <w:r>
        <w:rPr>
          <w:sz w:val="22"/>
        </w:rPr>
        <w:t>в отраслях ТЭК</w:t>
      </w:r>
    </w:p>
    <w:p w:rsidR="00951F25" w:rsidRDefault="00951F25">
      <w:pPr>
        <w:ind w:firstLine="6804"/>
        <w:rPr>
          <w:sz w:val="26"/>
        </w:rPr>
      </w:pPr>
    </w:p>
    <w:p w:rsidR="00951F25" w:rsidRDefault="00951F25">
      <w:pPr>
        <w:ind w:firstLine="6804"/>
        <w:rPr>
          <w:sz w:val="26"/>
        </w:rPr>
      </w:pPr>
    </w:p>
    <w:p w:rsidR="00951F25" w:rsidRDefault="00951F25">
      <w:pPr>
        <w:ind w:firstLine="6804"/>
        <w:rPr>
          <w:sz w:val="26"/>
        </w:rPr>
      </w:pPr>
    </w:p>
    <w:p w:rsidR="00951F25" w:rsidRDefault="00951F25">
      <w:pPr>
        <w:ind w:firstLine="6804"/>
        <w:rPr>
          <w:sz w:val="26"/>
        </w:rPr>
      </w:pPr>
    </w:p>
    <w:p w:rsidR="00951F25" w:rsidRDefault="00951F25">
      <w:pPr>
        <w:ind w:firstLine="6804"/>
        <w:rPr>
          <w:sz w:val="28"/>
        </w:rPr>
      </w:pPr>
    </w:p>
    <w:p w:rsidR="00951F25" w:rsidRDefault="00951F25">
      <w:pPr>
        <w:pStyle w:val="3"/>
        <w:rPr>
          <w:sz w:val="28"/>
        </w:rPr>
      </w:pPr>
      <w:r>
        <w:rPr>
          <w:sz w:val="28"/>
        </w:rPr>
        <w:t>КОНТРОЛЬНАЯ РАБОТА</w:t>
      </w:r>
    </w:p>
    <w:p w:rsidR="00951F25" w:rsidRDefault="00951F25">
      <w:pPr>
        <w:jc w:val="center"/>
        <w:rPr>
          <w:b/>
          <w:sz w:val="26"/>
        </w:rPr>
      </w:pPr>
      <w:r>
        <w:rPr>
          <w:sz w:val="28"/>
        </w:rPr>
        <w:t xml:space="preserve">по дисциплине: «Экономика недвижимости» </w:t>
      </w:r>
    </w:p>
    <w:p w:rsidR="00951F25" w:rsidRDefault="00951F25">
      <w:pPr>
        <w:jc w:val="center"/>
        <w:rPr>
          <w:sz w:val="28"/>
        </w:rPr>
      </w:pPr>
      <w:r>
        <w:rPr>
          <w:sz w:val="28"/>
        </w:rPr>
        <w:t>Вариант № 7</w:t>
      </w:r>
    </w:p>
    <w:p w:rsidR="00951F25" w:rsidRDefault="00951F25"/>
    <w:p w:rsidR="00951F25" w:rsidRDefault="00951F25"/>
    <w:p w:rsidR="00951F25" w:rsidRDefault="00951F25"/>
    <w:p w:rsidR="00951F25" w:rsidRDefault="00951F25"/>
    <w:p w:rsidR="00951F25" w:rsidRDefault="00951F25"/>
    <w:p w:rsidR="00951F25" w:rsidRDefault="00951F25"/>
    <w:p w:rsidR="00951F25" w:rsidRDefault="00951F25">
      <w:pPr>
        <w:pStyle w:val="4"/>
        <w:ind w:right="17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Выполнил: студент заочного </w:t>
      </w:r>
    </w:p>
    <w:p w:rsidR="00951F25" w:rsidRDefault="00951F25">
      <w:pPr>
        <w:pStyle w:val="4"/>
        <w:ind w:left="3540" w:right="175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обучения </w:t>
      </w:r>
    </w:p>
    <w:p w:rsidR="00951F25" w:rsidRDefault="00951F25">
      <w:pPr>
        <w:jc w:val="center"/>
        <w:rPr>
          <w:sz w:val="24"/>
        </w:rPr>
      </w:pPr>
      <w:r>
        <w:t xml:space="preserve">                                                                                                </w:t>
      </w:r>
      <w:r>
        <w:rPr>
          <w:sz w:val="24"/>
        </w:rPr>
        <w:t>гр. МО</w:t>
      </w:r>
      <w:r>
        <w:rPr>
          <w:sz w:val="24"/>
          <w:vertAlign w:val="subscript"/>
        </w:rPr>
        <w:t>зс</w:t>
      </w:r>
      <w:r>
        <w:rPr>
          <w:sz w:val="24"/>
        </w:rPr>
        <w:t xml:space="preserve"> – 01  Калачев С.А.</w:t>
      </w:r>
    </w:p>
    <w:p w:rsidR="00951F25" w:rsidRDefault="00951F25">
      <w:pPr>
        <w:ind w:firstLine="6237"/>
      </w:pPr>
    </w:p>
    <w:p w:rsidR="00951F25" w:rsidRDefault="00951F25">
      <w:pPr>
        <w:ind w:firstLine="6237"/>
      </w:pPr>
    </w:p>
    <w:p w:rsidR="00951F25" w:rsidRDefault="00951F25">
      <w:pPr>
        <w:rPr>
          <w:sz w:val="24"/>
          <w:u w:val="single"/>
          <w:lang w:val="en-US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4"/>
        </w:rPr>
        <w:t>Проверил:</w:t>
      </w:r>
    </w:p>
    <w:p w:rsidR="00951F25" w:rsidRDefault="00951F25">
      <w:pPr>
        <w:ind w:firstLine="6237"/>
        <w:rPr>
          <w:u w:val="single"/>
        </w:rPr>
      </w:pPr>
    </w:p>
    <w:p w:rsidR="00951F25" w:rsidRDefault="00951F25">
      <w:pPr>
        <w:ind w:firstLine="6237"/>
        <w:rPr>
          <w:u w:val="single"/>
        </w:rPr>
      </w:pPr>
    </w:p>
    <w:p w:rsidR="00951F25" w:rsidRDefault="00951F25">
      <w:pPr>
        <w:ind w:firstLine="6237"/>
        <w:rPr>
          <w:u w:val="single"/>
        </w:rPr>
      </w:pPr>
    </w:p>
    <w:p w:rsidR="00951F25" w:rsidRDefault="00951F25">
      <w:pPr>
        <w:ind w:firstLine="6237"/>
        <w:rPr>
          <w:u w:val="single"/>
        </w:rPr>
      </w:pPr>
    </w:p>
    <w:p w:rsidR="00951F25" w:rsidRDefault="00951F25">
      <w:pPr>
        <w:ind w:firstLine="6237"/>
        <w:rPr>
          <w:u w:val="single"/>
        </w:rPr>
      </w:pPr>
    </w:p>
    <w:p w:rsidR="00951F25" w:rsidRDefault="00951F25">
      <w:pPr>
        <w:ind w:firstLine="6237"/>
        <w:rPr>
          <w:u w:val="single"/>
        </w:rPr>
      </w:pPr>
    </w:p>
    <w:p w:rsidR="00951F25" w:rsidRDefault="00951F25">
      <w:pPr>
        <w:ind w:firstLine="6237"/>
        <w:rPr>
          <w:u w:val="single"/>
        </w:rPr>
      </w:pPr>
    </w:p>
    <w:p w:rsidR="00951F25" w:rsidRDefault="00951F25">
      <w:pPr>
        <w:ind w:firstLine="6237"/>
        <w:rPr>
          <w:u w:val="single"/>
        </w:rPr>
      </w:pPr>
    </w:p>
    <w:p w:rsidR="00951F25" w:rsidRDefault="00951F25">
      <w:pPr>
        <w:ind w:firstLine="6237"/>
        <w:rPr>
          <w:u w:val="single"/>
        </w:rPr>
      </w:pPr>
    </w:p>
    <w:p w:rsidR="00951F25" w:rsidRDefault="00951F25">
      <w:pPr>
        <w:ind w:firstLine="6237"/>
        <w:rPr>
          <w:u w:val="single"/>
        </w:rPr>
      </w:pPr>
    </w:p>
    <w:p w:rsidR="00951F25" w:rsidRDefault="00951F25">
      <w:pPr>
        <w:ind w:firstLine="6237"/>
      </w:pPr>
    </w:p>
    <w:p w:rsidR="00951F25" w:rsidRDefault="00951F25"/>
    <w:p w:rsidR="00951F25" w:rsidRDefault="00951F25"/>
    <w:p w:rsidR="00951F25" w:rsidRDefault="00951F25">
      <w:pPr>
        <w:pStyle w:val="2"/>
      </w:pPr>
      <w:r>
        <w:t>Тюмень 2003</w:t>
      </w: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jc w:val="center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Содержание</w:t>
      </w: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a4"/>
        <w:numPr>
          <w:ilvl w:val="0"/>
          <w:numId w:val="3"/>
        </w:numPr>
        <w:spacing w:line="360" w:lineRule="auto"/>
        <w:jc w:val="both"/>
      </w:pPr>
      <w:r>
        <w:t>Определение нормативной цены  земли</w:t>
      </w:r>
      <w:r>
        <w:tab/>
      </w:r>
      <w:r>
        <w:tab/>
      </w:r>
      <w:r>
        <w:tab/>
      </w:r>
      <w:r>
        <w:tab/>
        <w:t>3</w:t>
      </w:r>
    </w:p>
    <w:p w:rsidR="00951F25" w:rsidRDefault="00951F25">
      <w:pPr>
        <w:pStyle w:val="a4"/>
        <w:numPr>
          <w:ilvl w:val="0"/>
          <w:numId w:val="3"/>
        </w:numPr>
        <w:spacing w:line="360" w:lineRule="auto"/>
        <w:jc w:val="both"/>
      </w:pPr>
      <w:r>
        <w:t xml:space="preserve">Метод капитализации дохода и его использование при </w:t>
      </w:r>
      <w:r>
        <w:tab/>
      </w:r>
      <w:r>
        <w:tab/>
      </w:r>
    </w:p>
    <w:p w:rsidR="00951F25" w:rsidRDefault="00951F25">
      <w:pPr>
        <w:pStyle w:val="a4"/>
        <w:spacing w:line="360" w:lineRule="auto"/>
        <w:ind w:firstLine="420"/>
        <w:jc w:val="both"/>
      </w:pPr>
      <w:r>
        <w:t>оценке объектов недвижимости</w:t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951F25" w:rsidRDefault="00951F25">
      <w:pPr>
        <w:pStyle w:val="a4"/>
        <w:spacing w:line="360" w:lineRule="auto"/>
        <w:jc w:val="both"/>
      </w:pPr>
      <w:r>
        <w:t>Список использованной литературы</w:t>
      </w:r>
      <w:r>
        <w:tab/>
      </w:r>
      <w:r>
        <w:tab/>
      </w:r>
      <w:r>
        <w:tab/>
      </w:r>
      <w:r>
        <w:tab/>
      </w:r>
      <w:r>
        <w:tab/>
        <w:t>10</w:t>
      </w: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</w:p>
    <w:p w:rsidR="00951F25" w:rsidRDefault="00951F25">
      <w:pPr>
        <w:pStyle w:val="FR1"/>
        <w:spacing w:before="0" w:line="360" w:lineRule="auto"/>
        <w:ind w:left="0"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1.Определение нормативной цены  земли</w:t>
      </w:r>
    </w:p>
    <w:p w:rsidR="00951F25" w:rsidRDefault="00951F25">
      <w:pPr>
        <w:pStyle w:val="a3"/>
        <w:ind w:firstLine="720"/>
        <w:rPr>
          <w:sz w:val="28"/>
        </w:rPr>
      </w:pPr>
      <w:r>
        <w:rPr>
          <w:sz w:val="28"/>
        </w:rPr>
        <w:t>При решении практических вопросов землепользования в РФ применяется нормативная цена земли. Ставки земельного налога определяются с нормативной ценой земли. Порядок определения нормативной цены земли был установлен Постановлением Прави</w:t>
      </w:r>
      <w:r>
        <w:rPr>
          <w:sz w:val="28"/>
        </w:rPr>
        <w:softHyphen/>
        <w:t>тельства РФ от 25 февраля 1992 г. № 1992. По этому постановле</w:t>
      </w:r>
      <w:r>
        <w:rPr>
          <w:sz w:val="28"/>
        </w:rPr>
        <w:softHyphen/>
        <w:t>нию нормативная цена земли применятся для обеспечения эконо</w:t>
      </w:r>
      <w:r>
        <w:rPr>
          <w:sz w:val="28"/>
        </w:rPr>
        <w:softHyphen/>
        <w:t>мического регулирования земельных отношений при передаче зем</w:t>
      </w:r>
      <w:r>
        <w:rPr>
          <w:sz w:val="28"/>
        </w:rPr>
        <w:softHyphen/>
        <w:t>ли в собственность гражданам; установлении коллективной соб</w:t>
      </w:r>
      <w:r>
        <w:rPr>
          <w:sz w:val="28"/>
        </w:rPr>
        <w:softHyphen/>
        <w:t>ственности на землю; передаче по наследству; дарении; получении банковского кредита под залог земельного участка, а также в дру</w:t>
      </w:r>
      <w:r>
        <w:rPr>
          <w:sz w:val="28"/>
        </w:rPr>
        <w:softHyphen/>
        <w:t>гих случаях, предусмотренных земельным законодательством РФ.</w:t>
      </w:r>
    </w:p>
    <w:p w:rsidR="00951F25" w:rsidRDefault="00951F25">
      <w:pPr>
        <w:spacing w:line="360" w:lineRule="auto"/>
        <w:ind w:left="40" w:firstLine="720"/>
        <w:jc w:val="both"/>
        <w:rPr>
          <w:sz w:val="28"/>
        </w:rPr>
      </w:pPr>
      <w:r>
        <w:rPr>
          <w:sz w:val="28"/>
        </w:rPr>
        <w:t>Нормативная цена земли — это установленная правительством РФ минимальная цена земли. В соответствии с данным поста</w:t>
      </w:r>
      <w:r>
        <w:rPr>
          <w:sz w:val="28"/>
        </w:rPr>
        <w:softHyphen/>
        <w:t>новлением нормативная цена земли для конкретных земельных участков определялась в размере пятидесятикратной ставки зе</w:t>
      </w:r>
      <w:r>
        <w:rPr>
          <w:sz w:val="28"/>
        </w:rPr>
        <w:softHyphen/>
        <w:t>мельного налога в рублях за единицу площади земель соответ</w:t>
      </w:r>
      <w:r>
        <w:rPr>
          <w:sz w:val="28"/>
        </w:rPr>
        <w:softHyphen/>
        <w:t>ствующего целевого назначения.</w:t>
      </w:r>
    </w:p>
    <w:p w:rsidR="00951F25" w:rsidRDefault="00951F25">
      <w:pPr>
        <w:spacing w:line="360" w:lineRule="auto"/>
        <w:ind w:left="40" w:firstLine="720"/>
        <w:jc w:val="both"/>
        <w:rPr>
          <w:sz w:val="28"/>
        </w:rPr>
      </w:pPr>
      <w:r>
        <w:rPr>
          <w:sz w:val="28"/>
        </w:rPr>
        <w:t>Минимальный размер ставки земельного налога применялся в размере 100 руб. за 1 га. Нормативная цена земли при предостав</w:t>
      </w:r>
      <w:r>
        <w:rPr>
          <w:sz w:val="28"/>
        </w:rPr>
        <w:softHyphen/>
        <w:t>лении в городах и поселках земельных участков в собственность гражданам для жилищного строительства, личного подсобного хозяйства, развития садоводства и животноводства определялась исходя из ставок земельного налога для этой категории платель</w:t>
      </w:r>
      <w:r>
        <w:rPr>
          <w:sz w:val="28"/>
        </w:rPr>
        <w:softHyphen/>
        <w:t>щиков.</w:t>
      </w:r>
    </w:p>
    <w:p w:rsidR="00951F25" w:rsidRDefault="00951F25">
      <w:pPr>
        <w:spacing w:line="360" w:lineRule="auto"/>
        <w:ind w:left="40" w:firstLine="720"/>
        <w:jc w:val="both"/>
        <w:rPr>
          <w:sz w:val="28"/>
        </w:rPr>
      </w:pPr>
      <w:r>
        <w:rPr>
          <w:sz w:val="28"/>
        </w:rPr>
        <w:t>Местным органам государственной власти по этому поста</w:t>
      </w:r>
      <w:r>
        <w:rPr>
          <w:sz w:val="28"/>
        </w:rPr>
        <w:softHyphen/>
        <w:t xml:space="preserve">новлению предоставлялось право при продаже земельных участков на конкурсной основе повышать нормативную цену земли, но не более чем на 50%. </w:t>
      </w:r>
    </w:p>
    <w:p w:rsidR="00951F25" w:rsidRDefault="00951F25">
      <w:pPr>
        <w:spacing w:line="360" w:lineRule="auto"/>
        <w:ind w:left="40" w:firstLine="720"/>
        <w:jc w:val="both"/>
        <w:rPr>
          <w:sz w:val="28"/>
        </w:rPr>
      </w:pPr>
      <w:r>
        <w:rPr>
          <w:sz w:val="28"/>
        </w:rPr>
        <w:t>Если земельные участки продавались па аукционах или при реализации заложенных в банк участков, уровень цен продажи таких участков не ограничивался. То есть в данном случае ре</w:t>
      </w:r>
      <w:r>
        <w:rPr>
          <w:sz w:val="28"/>
        </w:rPr>
        <w:softHyphen/>
        <w:t>шающую роль играл либо рыночный механизм, либо тайный сго</w:t>
      </w:r>
      <w:r>
        <w:rPr>
          <w:sz w:val="28"/>
        </w:rPr>
        <w:softHyphen/>
        <w:t>вор участников сделки.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1994 г. постановлением правительства РФ № 1204 норма</w:t>
      </w:r>
      <w:r>
        <w:rPr>
          <w:sz w:val="28"/>
        </w:rPr>
        <w:softHyphen/>
        <w:t>тивная цена земли была установлена в размере 200-кратной ставки земельного налога за единицу земельного участка. Через три года постановлением правительства РФ от 15 марта 1997 г. № 319 поря</w:t>
      </w:r>
      <w:r>
        <w:rPr>
          <w:sz w:val="28"/>
        </w:rPr>
        <w:softHyphen/>
        <w:t>док определения нормативной цены земли был изменен. Норма</w:t>
      </w:r>
      <w:r>
        <w:rPr>
          <w:sz w:val="28"/>
        </w:rPr>
        <w:softHyphen/>
        <w:t>тивная цена земли не должна превышать 75% уровня рыночной цены на типичные земельные участки соответствующего целевого назначения. По этому же постановлению органам местной власти были предоставлены права уточнять количество оценочных зон, устанавливать их границы, а также повышать или понижать нор</w:t>
      </w:r>
      <w:r>
        <w:rPr>
          <w:sz w:val="28"/>
        </w:rPr>
        <w:softHyphen/>
        <w:t>мативную цену земли, но не более чем на 25%.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Санкт-Петербурге был установлен следующий порядок опре</w:t>
      </w:r>
      <w:r>
        <w:rPr>
          <w:sz w:val="28"/>
        </w:rPr>
        <w:softHyphen/>
        <w:t>деления нормативной цены земли: в соответствии со ст. 8 Закона Российской Федерации "О плате за землю" налог за городские земли уплачивается на основе средних ставок, приведенных в при</w:t>
      </w:r>
      <w:r>
        <w:rPr>
          <w:sz w:val="28"/>
        </w:rPr>
        <w:softHyphen/>
        <w:t>ложении к закону. Средние ставки дифференцируются по зонам градостроительной ценности территории городов, границы зон определяются в соответствии с экономической оценкой территории и генеральным планом городов.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Петербурге границы зон градостроительной ценности утверждены Законом "О ставках земельного налога в Санкт-Петербурге в 1995 году" от 14.07.95,77-10.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настоящее время территория Петербурга разделена на 19 зон градостроительной ценности в зависимости от месторасположения земельных участков. Центральная часть города (Невский проспект н прилегающие улицы), например, расположена в первой зоне гра</w:t>
      </w:r>
      <w:r>
        <w:rPr>
          <w:sz w:val="28"/>
        </w:rPr>
        <w:softHyphen/>
        <w:t>достроительной ценности. По мере удаления участков от центра изменяется номер зоны градостроительной ценности. Ставка зе</w:t>
      </w:r>
      <w:r>
        <w:rPr>
          <w:sz w:val="28"/>
        </w:rPr>
        <w:softHyphen/>
        <w:t>мельного налога используется также при определении норма</w:t>
      </w:r>
      <w:r>
        <w:rPr>
          <w:sz w:val="28"/>
        </w:rPr>
        <w:softHyphen/>
        <w:t xml:space="preserve">тивной цены земельных участков. 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pStyle w:val="a4"/>
        <w:spacing w:line="360" w:lineRule="auto"/>
        <w:ind w:firstLine="720"/>
        <w:jc w:val="both"/>
      </w:pPr>
      <w:r>
        <w:t>2.</w:t>
      </w:r>
      <w:r>
        <w:tab/>
        <w:t>Метод капитализации дохода</w:t>
      </w:r>
      <w:bookmarkEnd w:id="0"/>
      <w:r>
        <w:t xml:space="preserve"> и его использование при оценке объектов недвижимости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Корректировки цен продаж сравнимой недвижимости дела</w:t>
      </w:r>
      <w:r>
        <w:rPr>
          <w:sz w:val="28"/>
        </w:rPr>
        <w:softHyphen/>
        <w:t>ются потому, что цены продаж ее известны, а стоимость оцени</w:t>
      </w:r>
      <w:r>
        <w:rPr>
          <w:sz w:val="28"/>
        </w:rPr>
        <w:softHyphen/>
        <w:t>ваемой недвижимости не известна. С помощью этой процедуры сравнения оценщик рассчитывает стоимость, определенную в идентификации проблемы, как стоимость на определенную дату. Данные типа коэффициентов дохода и ставок дохода могут такие быть получены с помощью анализа сравнения продаж. В подходе сравнения продаж оценщики рассматривают эти данные, но не относятся к ним как к элементам сравнения. Эти Данные применяются в методе капитализации дохода.</w:t>
      </w:r>
    </w:p>
    <w:p w:rsidR="00951F25" w:rsidRDefault="00951F25">
      <w:pPr>
        <w:pStyle w:val="20"/>
        <w:spacing w:line="360" w:lineRule="auto"/>
        <w:ind w:firstLine="720"/>
      </w:pPr>
      <w:r>
        <w:t>Капитализация дохода - это преобразование ожидаемых в будущем доходов в единовременно получаемую в настоящее время стоимость, т.е. превращение доходов в капитал.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pStyle w:val="30"/>
        <w:spacing w:line="360" w:lineRule="auto"/>
        <w:ind w:firstLine="720"/>
        <w:jc w:val="both"/>
      </w:pPr>
      <w:r>
        <w:t xml:space="preserve">В случае оценки полных прав собственности для расчета будущей выручки от продажи недвижимости используют цену перепродажи объекта недвижимости в целом. Эта цена определяется будущей стоимостью земли, степенью износа здании и сооружений издержками на совершение сделки по продаже объекта. При оценке стоимости собственного капитала инвестиций цены продажи всего объекта вычитают остаток долга по ипотечному кредиту. </w:t>
      </w:r>
    </w:p>
    <w:p w:rsidR="00951F25" w:rsidRDefault="00951F25">
      <w:pPr>
        <w:pStyle w:val="30"/>
        <w:spacing w:line="360" w:lineRule="auto"/>
        <w:ind w:firstLine="720"/>
        <w:jc w:val="both"/>
      </w:pPr>
      <w:r>
        <w:t>В</w:t>
      </w:r>
      <w:r>
        <w:rPr>
          <w:smallCaps/>
        </w:rPr>
        <w:t xml:space="preserve"> </w:t>
      </w:r>
      <w:r>
        <w:t>оценке недвижимости используют две основные процедуры приведения будущих доходов к их текущей стоимости: с использованием коэффициента капитализации и ставки дисконта.   Коэффициент капитализации применяется к доходам одного года. Обычно это первый прогнозный год. Расчет стоимости производится по формуле:</w:t>
      </w:r>
    </w:p>
    <w:p w:rsidR="00951F25" w:rsidRDefault="00951F25">
      <w:pPr>
        <w:pStyle w:val="30"/>
        <w:spacing w:line="360" w:lineRule="auto"/>
        <w:ind w:firstLine="720"/>
        <w:jc w:val="both"/>
      </w:pPr>
    </w:p>
    <w:p w:rsidR="00951F25" w:rsidRDefault="00951F25">
      <w:pPr>
        <w:pStyle w:val="30"/>
        <w:spacing w:line="360" w:lineRule="auto"/>
        <w:ind w:firstLine="720"/>
        <w:jc w:val="both"/>
      </w:pPr>
      <w:r>
        <w:t>К=К</w:t>
      </w:r>
      <w:r>
        <w:rPr>
          <w:vertAlign w:val="subscript"/>
          <w:lang w:val="en-US"/>
        </w:rPr>
        <w:t>t</w:t>
      </w:r>
      <w:r>
        <w:t>/(1+</w:t>
      </w:r>
      <w:r>
        <w:rPr>
          <w:lang w:val="en-US"/>
        </w:rPr>
        <w:t>n</w:t>
      </w:r>
      <w:r>
        <w:t>)</w:t>
      </w:r>
    </w:p>
    <w:p w:rsidR="00951F25" w:rsidRDefault="00951F25">
      <w:pPr>
        <w:pStyle w:val="30"/>
        <w:spacing w:line="360" w:lineRule="auto"/>
        <w:ind w:firstLine="720"/>
        <w:jc w:val="both"/>
        <w:rPr>
          <w:lang w:val="en-US"/>
        </w:rPr>
      </w:pPr>
    </w:p>
    <w:p w:rsidR="00951F25" w:rsidRDefault="00951F25">
      <w:pPr>
        <w:spacing w:line="360" w:lineRule="auto"/>
        <w:ind w:left="360" w:firstLine="720"/>
        <w:jc w:val="both"/>
        <w:rPr>
          <w:sz w:val="28"/>
        </w:rPr>
      </w:pPr>
      <w:r>
        <w:rPr>
          <w:sz w:val="28"/>
        </w:rPr>
        <w:t>К - текущая стоимость (т.е. стоимость в настоящее вре</w:t>
      </w:r>
      <w:r>
        <w:rPr>
          <w:sz w:val="28"/>
        </w:rPr>
        <w:softHyphen/>
        <w:t xml:space="preserve">мя), руб. </w:t>
      </w:r>
    </w:p>
    <w:p w:rsidR="00951F25" w:rsidRDefault="00951F25">
      <w:pPr>
        <w:spacing w:line="360" w:lineRule="auto"/>
        <w:ind w:left="360" w:firstLine="720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- доход, ожидаемый к концу t года (</w:t>
      </w:r>
      <w:r>
        <w:rPr>
          <w:sz w:val="28"/>
          <w:lang w:val="en-US"/>
        </w:rPr>
        <w:t>t</w:t>
      </w:r>
      <w:r>
        <w:rPr>
          <w:sz w:val="28"/>
        </w:rPr>
        <w:t>=1 год), руб.;</w:t>
      </w:r>
    </w:p>
    <w:p w:rsidR="00951F25" w:rsidRDefault="00951F25">
      <w:pPr>
        <w:pStyle w:val="30"/>
        <w:spacing w:line="360" w:lineRule="auto"/>
        <w:ind w:firstLine="720"/>
        <w:jc w:val="both"/>
      </w:pPr>
      <w:r>
        <w:t xml:space="preserve">     </w:t>
      </w:r>
      <w:r>
        <w:rPr>
          <w:lang w:val="en-US"/>
        </w:rPr>
        <w:t>n</w:t>
      </w:r>
      <w:r>
        <w:t xml:space="preserve">  - ставка дисконта (норма доходности или процентная ставка), доли единицы.</w:t>
      </w:r>
    </w:p>
    <w:p w:rsidR="00951F25" w:rsidRDefault="00951F25">
      <w:pPr>
        <w:pStyle w:val="30"/>
        <w:spacing w:line="360" w:lineRule="auto"/>
        <w:ind w:firstLine="720"/>
        <w:jc w:val="both"/>
      </w:pPr>
      <w:r>
        <w:t>Величина (1/1+</w:t>
      </w:r>
      <w:r>
        <w:rPr>
          <w:lang w:val="en-US"/>
        </w:rPr>
        <w:t>n</w:t>
      </w:r>
      <w:r>
        <w:t>) представляет собой коэффициент ка</w:t>
      </w:r>
      <w:r>
        <w:softHyphen/>
        <w:t>питализации, или коэффициент дисконта.</w:t>
      </w:r>
    </w:p>
    <w:p w:rsidR="00951F25" w:rsidRDefault="00951F25">
      <w:pPr>
        <w:spacing w:before="80" w:line="360" w:lineRule="auto"/>
        <w:ind w:firstLine="720"/>
        <w:jc w:val="both"/>
        <w:rPr>
          <w:sz w:val="28"/>
        </w:rPr>
      </w:pPr>
      <w:r>
        <w:rPr>
          <w:sz w:val="28"/>
        </w:rPr>
        <w:t>Пример. При ожидаемом через год доходе 120 тыс. руб. и норме доходности 20% текущая стоимость объекта не</w:t>
      </w:r>
      <w:r>
        <w:rPr>
          <w:sz w:val="28"/>
        </w:rPr>
        <w:softHyphen/>
        <w:t>движимости составит</w:t>
      </w:r>
    </w:p>
    <w:p w:rsidR="00951F25" w:rsidRDefault="00951F25">
      <w:pPr>
        <w:spacing w:before="80" w:line="360" w:lineRule="auto"/>
        <w:ind w:firstLine="720"/>
        <w:jc w:val="both"/>
        <w:rPr>
          <w:sz w:val="28"/>
        </w:rPr>
      </w:pPr>
    </w:p>
    <w:p w:rsidR="00951F25" w:rsidRDefault="00951F25">
      <w:pPr>
        <w:spacing w:before="8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К = (120/1+0,2)= 100 тыс.руб.</w:t>
      </w:r>
    </w:p>
    <w:p w:rsidR="00951F25" w:rsidRDefault="00951F25">
      <w:pPr>
        <w:pStyle w:val="30"/>
        <w:spacing w:line="360" w:lineRule="auto"/>
        <w:ind w:firstLine="720"/>
        <w:jc w:val="both"/>
      </w:pPr>
    </w:p>
    <w:p w:rsidR="00951F25" w:rsidRDefault="00951F25">
      <w:pPr>
        <w:pStyle w:val="30"/>
        <w:spacing w:line="360" w:lineRule="auto"/>
        <w:ind w:firstLine="720"/>
        <w:jc w:val="both"/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этом коэффициент капитализации (коэффициент Дисконта) равен:</w:t>
      </w:r>
    </w:p>
    <w:p w:rsidR="00951F25" w:rsidRDefault="00951F25">
      <w:pPr>
        <w:spacing w:before="240" w:line="360" w:lineRule="auto"/>
        <w:ind w:firstLine="720"/>
        <w:jc w:val="both"/>
        <w:rPr>
          <w:sz w:val="28"/>
        </w:rPr>
      </w:pPr>
      <w:r>
        <w:rPr>
          <w:sz w:val="28"/>
        </w:rPr>
        <w:t>1/(1+0,2) =0,8333.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Пример. При ожидаемом через год доходе 50 тыс. руб. при вложении капитала в землю при норме доходности 10% и доходе 150 тыс. руб. при вложении капитала в здание при норме доходности 50% текущая стоимость объекта недвижимости, т.е. предприятия в целом, составит:        коэффициент капитализации для земли (</w:t>
      </w:r>
      <w:r>
        <w:rPr>
          <w:sz w:val="28"/>
          <w:lang w:val="en-US"/>
        </w:rPr>
        <w:t>R</w:t>
      </w:r>
      <w:r>
        <w:rPr>
          <w:sz w:val="28"/>
        </w:rPr>
        <w:t>) -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=1/(1+0,1)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коэффициент капитализации для здания (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 xml:space="preserve">) 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  = 1/(1+0,5) = 0,6667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текущая стоимость объекта недвижимости: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= 50 * 0,9091 + 150 * 0,6667 = 145,45 тыс. руб.</w:t>
      </w:r>
    </w:p>
    <w:p w:rsidR="00951F25" w:rsidRDefault="00951F25">
      <w:pPr>
        <w:spacing w:before="180" w:line="360" w:lineRule="auto"/>
        <w:ind w:firstLine="720"/>
        <w:jc w:val="both"/>
        <w:rPr>
          <w:sz w:val="28"/>
        </w:rPr>
      </w:pPr>
      <w:r>
        <w:rPr>
          <w:sz w:val="28"/>
        </w:rPr>
        <w:t>Коэффициент капитализации либо непосредственно выводится по продажам сопоставляемых объектов как отношение годового дохода к цене продажи (прямая капитализация), либо рассчитывается исходя из ожидаемой ставки периодического дохода на капитал и задаваемых условий возмещения инвестиций (капитализация отдачей).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Ставка дисконта используется для построения модели дисконтированных денежных потоков. При этом к текущей стоимости приводятся периодические доходы каждого про</w:t>
      </w:r>
      <w:r>
        <w:rPr>
          <w:sz w:val="28"/>
        </w:rPr>
        <w:softHyphen/>
        <w:t>гнозного года, а также гипотетическая выручка от продажи,</w:t>
      </w:r>
    </w:p>
    <w:p w:rsidR="00951F25" w:rsidRDefault="00951F25">
      <w:pPr>
        <w:pStyle w:val="30"/>
        <w:spacing w:line="360" w:lineRule="auto"/>
        <w:ind w:firstLine="720"/>
        <w:jc w:val="both"/>
      </w:pPr>
      <w:r>
        <w:t>Модель дисконтированных денежных потоков имеет вид:</w:t>
      </w:r>
    </w:p>
    <w:p w:rsidR="00951F25" w:rsidRDefault="00951F25">
      <w:pPr>
        <w:pStyle w:val="30"/>
        <w:spacing w:line="360" w:lineRule="auto"/>
        <w:ind w:firstLine="720"/>
        <w:jc w:val="both"/>
      </w:pPr>
    </w:p>
    <w:p w:rsidR="00951F25" w:rsidRDefault="00951F25">
      <w:pPr>
        <w:pStyle w:val="30"/>
        <w:spacing w:line="360" w:lineRule="auto"/>
        <w:ind w:firstLine="720"/>
        <w:jc w:val="both"/>
      </w:pPr>
    </w:p>
    <w:p w:rsidR="00951F25" w:rsidRDefault="00951F25">
      <w:pPr>
        <w:pStyle w:val="30"/>
        <w:spacing w:line="360" w:lineRule="auto"/>
        <w:ind w:firstLine="720"/>
        <w:jc w:val="both"/>
        <w:rPr>
          <w:vertAlign w:val="subscript"/>
        </w:rPr>
      </w:pPr>
      <w:r>
        <w:t xml:space="preserve">          </w:t>
      </w:r>
      <w:r>
        <w:rPr>
          <w:vertAlign w:val="subscript"/>
        </w:rPr>
        <w:t xml:space="preserve"> </w:t>
      </w:r>
      <w:r>
        <w:t>К</w:t>
      </w:r>
      <w:r>
        <w:rPr>
          <w:vertAlign w:val="subscript"/>
          <w:lang w:val="en-US"/>
        </w:rPr>
        <w:t>t</w:t>
      </w:r>
      <w:r>
        <w:rPr>
          <w:vertAlign w:val="subscript"/>
        </w:rPr>
        <w:t xml:space="preserve">                      </w:t>
      </w:r>
      <w:r>
        <w:t>К</w:t>
      </w:r>
      <w:r>
        <w:rPr>
          <w:vertAlign w:val="subscript"/>
          <w:lang w:val="en-US"/>
        </w:rPr>
        <w:t>t</w:t>
      </w:r>
      <w:r>
        <w:t xml:space="preserve">               К</w:t>
      </w:r>
      <w:r>
        <w:rPr>
          <w:vertAlign w:val="subscript"/>
          <w:lang w:val="en-US"/>
        </w:rPr>
        <w:t>t</w:t>
      </w:r>
      <w:r>
        <w:t xml:space="preserve">                       К</w:t>
      </w:r>
      <w:r>
        <w:rPr>
          <w:vertAlign w:val="subscript"/>
          <w:lang w:val="en-US"/>
        </w:rPr>
        <w:t>t</w:t>
      </w:r>
    </w:p>
    <w:p w:rsidR="00951F25" w:rsidRDefault="00951F25">
      <w:pPr>
        <w:pStyle w:val="30"/>
        <w:spacing w:line="360" w:lineRule="auto"/>
        <w:ind w:firstLine="720"/>
        <w:jc w:val="both"/>
        <w:rPr>
          <w:lang w:val="en-US"/>
        </w:rPr>
      </w:pPr>
      <w:r>
        <w:t>К= ----------; ------------; ------------; ……-------------</w:t>
      </w:r>
      <w:r>
        <w:rPr>
          <w:lang w:val="en-US"/>
        </w:rPr>
        <w:t>,</w:t>
      </w:r>
    </w:p>
    <w:p w:rsidR="00951F25" w:rsidRDefault="00951F25">
      <w:pPr>
        <w:pStyle w:val="30"/>
        <w:spacing w:line="360" w:lineRule="auto"/>
        <w:ind w:firstLine="720"/>
        <w:jc w:val="both"/>
        <w:rPr>
          <w:vertAlign w:val="superscript"/>
          <w:lang w:val="en-US"/>
        </w:rPr>
      </w:pPr>
      <w:r>
        <w:rPr>
          <w:lang w:val="en-US"/>
        </w:rPr>
        <w:t xml:space="preserve">        (1+n)</w:t>
      </w:r>
      <w:r>
        <w:rPr>
          <w:vertAlign w:val="superscript"/>
          <w:lang w:val="en-US"/>
        </w:rPr>
        <w:t xml:space="preserve">1           </w:t>
      </w:r>
      <w:r>
        <w:rPr>
          <w:lang w:val="en-US"/>
        </w:rPr>
        <w:t>(1+n)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       (1+n)</w:t>
      </w:r>
      <w:r>
        <w:rPr>
          <w:vertAlign w:val="superscript"/>
          <w:lang w:val="en-US"/>
        </w:rPr>
        <w:t xml:space="preserve">3                          </w:t>
      </w:r>
      <w:r>
        <w:rPr>
          <w:lang w:val="en-US"/>
        </w:rPr>
        <w:t>(1+n)</w:t>
      </w:r>
      <w:r>
        <w:rPr>
          <w:vertAlign w:val="superscript"/>
          <w:lang w:val="en-US"/>
        </w:rPr>
        <w:t>t</w:t>
      </w:r>
    </w:p>
    <w:p w:rsidR="00951F25" w:rsidRDefault="00951F25">
      <w:pPr>
        <w:pStyle w:val="30"/>
        <w:spacing w:line="360" w:lineRule="auto"/>
        <w:ind w:firstLine="720"/>
        <w:jc w:val="both"/>
        <w:rPr>
          <w:vertAlign w:val="superscript"/>
          <w:lang w:val="en-US"/>
        </w:rPr>
      </w:pPr>
    </w:p>
    <w:p w:rsidR="00951F25" w:rsidRDefault="00951F25">
      <w:pPr>
        <w:pStyle w:val="30"/>
        <w:spacing w:line="360" w:lineRule="auto"/>
        <w:ind w:firstLine="720"/>
        <w:jc w:val="both"/>
        <w:rPr>
          <w:vertAlign w:val="superscript"/>
          <w:lang w:val="en-US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где К</w:t>
      </w:r>
      <w:r>
        <w:rPr>
          <w:sz w:val="28"/>
        </w:rPr>
        <w:tab/>
        <w:t>- текущая стоимость руб.;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К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ab/>
        <w:t xml:space="preserve">- доход, ожидаемый к концу </w:t>
      </w:r>
      <w:r>
        <w:rPr>
          <w:sz w:val="28"/>
          <w:lang w:val="en-US"/>
        </w:rPr>
        <w:t>t</w:t>
      </w:r>
      <w:r>
        <w:rPr>
          <w:sz w:val="28"/>
        </w:rPr>
        <w:t xml:space="preserve"> года, руб.;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n</w:t>
      </w:r>
      <w:r>
        <w:rPr>
          <w:sz w:val="28"/>
        </w:rPr>
        <w:tab/>
        <w:t>- ставка дисконта, доли единицы;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t</w:t>
      </w:r>
      <w:r>
        <w:rPr>
          <w:sz w:val="28"/>
        </w:rPr>
        <w:tab/>
        <w:t>- фактор времени (число лет);</w:t>
      </w:r>
    </w:p>
    <w:p w:rsidR="00951F25" w:rsidRDefault="00951F25">
      <w:pPr>
        <w:pStyle w:val="30"/>
        <w:spacing w:line="360" w:lineRule="auto"/>
        <w:ind w:firstLine="720"/>
        <w:jc w:val="both"/>
        <w:rPr>
          <w:lang w:val="en-US"/>
        </w:rPr>
      </w:pPr>
      <w:r>
        <w:t xml:space="preserve">     1,2,3...- порядковый номер года.</w:t>
      </w:r>
    </w:p>
    <w:p w:rsidR="00951F25" w:rsidRDefault="00951F25">
      <w:pPr>
        <w:pStyle w:val="30"/>
        <w:spacing w:line="360" w:lineRule="auto"/>
        <w:ind w:firstLine="720"/>
        <w:jc w:val="both"/>
        <w:rPr>
          <w:lang w:val="en-US"/>
        </w:rPr>
      </w:pPr>
    </w:p>
    <w:p w:rsidR="00951F25" w:rsidRDefault="00951F25">
      <w:pPr>
        <w:pStyle w:val="30"/>
        <w:spacing w:line="360" w:lineRule="auto"/>
        <w:ind w:firstLine="720"/>
        <w:jc w:val="both"/>
        <w:rPr>
          <w:lang w:val="en-US"/>
        </w:rPr>
      </w:pPr>
      <w:r>
        <w:t>Пример. При ожидаемом через 5 лет доходе 250 тыс. руб. и норме доходности 20% текущая стоимость объекта недвижимости составит:</w:t>
      </w:r>
    </w:p>
    <w:p w:rsidR="00951F25" w:rsidRDefault="00951F25">
      <w:pPr>
        <w:pStyle w:val="30"/>
        <w:spacing w:line="360" w:lineRule="auto"/>
        <w:ind w:firstLine="720"/>
        <w:jc w:val="both"/>
        <w:rPr>
          <w:lang w:val="en-US"/>
        </w:rPr>
      </w:pPr>
    </w:p>
    <w:p w:rsidR="00951F25" w:rsidRDefault="00951F25">
      <w:pPr>
        <w:pStyle w:val="30"/>
        <w:spacing w:line="360" w:lineRule="auto"/>
        <w:ind w:firstLine="720"/>
        <w:jc w:val="both"/>
      </w:pPr>
      <w:r>
        <w:rPr>
          <w:lang w:val="en-US"/>
        </w:rPr>
        <w:t>K</w:t>
      </w:r>
      <w:r>
        <w:t>=250/(1+0,2)</w:t>
      </w:r>
      <w:r>
        <w:rPr>
          <w:vertAlign w:val="superscript"/>
        </w:rPr>
        <w:t>5</w:t>
      </w:r>
      <w:r>
        <w:t>=100,47 тыс. руб.</w:t>
      </w:r>
    </w:p>
    <w:p w:rsidR="00951F25" w:rsidRDefault="00951F25">
      <w:pPr>
        <w:pStyle w:val="30"/>
        <w:spacing w:line="360" w:lineRule="auto"/>
        <w:ind w:firstLine="720"/>
        <w:jc w:val="both"/>
      </w:pPr>
    </w:p>
    <w:p w:rsidR="00951F25" w:rsidRDefault="00951F25">
      <w:pPr>
        <w:pStyle w:val="30"/>
        <w:spacing w:line="360" w:lineRule="auto"/>
        <w:ind w:firstLine="720"/>
        <w:jc w:val="both"/>
      </w:pPr>
      <w:r>
        <w:t>при этом текущая стоимость объекта недвижимости по годам составит:</w:t>
      </w:r>
    </w:p>
    <w:p w:rsidR="00951F25" w:rsidRDefault="00951F25">
      <w:pPr>
        <w:pStyle w:val="30"/>
        <w:spacing w:line="360" w:lineRule="auto"/>
        <w:ind w:firstLine="720"/>
        <w:jc w:val="both"/>
      </w:pPr>
    </w:p>
    <w:p w:rsidR="00951F25" w:rsidRDefault="00951F25">
      <w:pPr>
        <w:pStyle w:val="30"/>
        <w:spacing w:line="360" w:lineRule="auto"/>
        <w:ind w:firstLine="720"/>
        <w:jc w:val="both"/>
      </w:pPr>
      <w:r>
        <w:t>конец 1-го года 250/(1+0,2)</w:t>
      </w:r>
      <w:r>
        <w:rPr>
          <w:vertAlign w:val="superscript"/>
        </w:rPr>
        <w:t>1</w:t>
      </w:r>
      <w:r>
        <w:t>=208,33 тыс. руб.;</w:t>
      </w:r>
    </w:p>
    <w:p w:rsidR="00951F25" w:rsidRDefault="00951F25">
      <w:pPr>
        <w:pStyle w:val="30"/>
        <w:spacing w:line="360" w:lineRule="auto"/>
        <w:ind w:firstLine="720"/>
        <w:jc w:val="both"/>
      </w:pPr>
      <w:r>
        <w:t>конец 2-го года 250/(1+0,2)</w:t>
      </w:r>
      <w:r>
        <w:rPr>
          <w:vertAlign w:val="superscript"/>
        </w:rPr>
        <w:t>2</w:t>
      </w:r>
      <w:r>
        <w:t>=173,61 тыс. руб.;</w:t>
      </w:r>
    </w:p>
    <w:p w:rsidR="00951F25" w:rsidRDefault="00951F25">
      <w:pPr>
        <w:pStyle w:val="30"/>
        <w:spacing w:line="360" w:lineRule="auto"/>
        <w:ind w:firstLine="720"/>
        <w:jc w:val="both"/>
      </w:pPr>
      <w:r>
        <w:t>конец 3-го года 250/(1+0,2)</w:t>
      </w:r>
      <w:r>
        <w:rPr>
          <w:vertAlign w:val="superscript"/>
        </w:rPr>
        <w:t>3</w:t>
      </w:r>
      <w:r>
        <w:t>=144,68 тыс. руб.;</w:t>
      </w:r>
    </w:p>
    <w:p w:rsidR="00951F25" w:rsidRDefault="00951F25">
      <w:pPr>
        <w:pStyle w:val="30"/>
        <w:spacing w:line="360" w:lineRule="auto"/>
        <w:ind w:firstLine="720"/>
        <w:jc w:val="both"/>
      </w:pPr>
      <w:r>
        <w:t>конец 4-го года 250/(1+0,2)</w:t>
      </w:r>
      <w:r>
        <w:rPr>
          <w:vertAlign w:val="superscript"/>
        </w:rPr>
        <w:t>4</w:t>
      </w:r>
      <w:r>
        <w:t>=120,56 тыс. руб.;</w:t>
      </w:r>
    </w:p>
    <w:p w:rsidR="00951F25" w:rsidRDefault="00951F25">
      <w:pPr>
        <w:pStyle w:val="30"/>
        <w:spacing w:line="360" w:lineRule="auto"/>
        <w:ind w:firstLine="720"/>
        <w:jc w:val="both"/>
      </w:pPr>
      <w:r>
        <w:t>конец 5-го года 250/(1+0,2)</w:t>
      </w:r>
      <w:r>
        <w:rPr>
          <w:vertAlign w:val="superscript"/>
        </w:rPr>
        <w:t>5</w:t>
      </w:r>
      <w:r>
        <w:t>=100,47 тыс. руб.;</w:t>
      </w:r>
    </w:p>
    <w:p w:rsidR="00951F25" w:rsidRDefault="00951F25">
      <w:pPr>
        <w:pStyle w:val="30"/>
        <w:spacing w:line="360" w:lineRule="auto"/>
        <w:ind w:firstLine="720"/>
        <w:jc w:val="both"/>
      </w:pPr>
    </w:p>
    <w:p w:rsidR="00951F25" w:rsidRDefault="00951F25">
      <w:pPr>
        <w:pStyle w:val="30"/>
        <w:spacing w:line="360" w:lineRule="auto"/>
        <w:ind w:firstLine="720"/>
        <w:jc w:val="both"/>
      </w:pPr>
      <w:r>
        <w:t>Метод капитализации дохода также требует широкого изучения рынка. Исследование и анализ данных для этого метода проводятся на фоне связи спроса и предложения, дающей информацию о тенденциях в рыночных ожиданиях. Например, инвестор, желающий вложить деньги в много</w:t>
      </w:r>
      <w:r>
        <w:softHyphen/>
        <w:t>квартирный дом, ожидает как возврата вложенных средств, так и получения приемлемого дохода. Уровень дохода, не</w:t>
      </w:r>
      <w:r>
        <w:softHyphen/>
        <w:t>обходимого для привлечения инвестиции, есть функция риска, внутренне присущего недвижимости. Более того, уровень дохода, требуемый инвесторами, меняется вместе с изменениями на рынке денег и изменениями доходов, предлагаемых как альтернативные возможности инвести</w:t>
      </w:r>
      <w:r>
        <w:softHyphen/>
        <w:t>рования.</w:t>
      </w: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both"/>
        <w:rPr>
          <w:sz w:val="28"/>
        </w:rPr>
      </w:pPr>
    </w:p>
    <w:p w:rsidR="00951F25" w:rsidRDefault="00951F25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Список использованной литературы:</w:t>
      </w:r>
    </w:p>
    <w:p w:rsidR="00951F25" w:rsidRDefault="00951F25">
      <w:pPr>
        <w:pStyle w:val="30"/>
        <w:spacing w:line="360" w:lineRule="auto"/>
        <w:ind w:left="900"/>
        <w:jc w:val="both"/>
      </w:pPr>
    </w:p>
    <w:p w:rsidR="00951F25" w:rsidRDefault="00951F25">
      <w:pPr>
        <w:pStyle w:val="30"/>
        <w:numPr>
          <w:ilvl w:val="0"/>
          <w:numId w:val="1"/>
        </w:numPr>
        <w:spacing w:line="360" w:lineRule="auto"/>
        <w:ind w:firstLine="720"/>
        <w:jc w:val="both"/>
      </w:pPr>
      <w:r>
        <w:t>Балабанов И.Т. Основы финансового менеджмента М.: «Финансы и статистика» 2001г.</w:t>
      </w:r>
    </w:p>
    <w:p w:rsidR="00951F25" w:rsidRDefault="00951F25">
      <w:pPr>
        <w:pStyle w:val="30"/>
        <w:numPr>
          <w:ilvl w:val="0"/>
          <w:numId w:val="1"/>
        </w:numPr>
        <w:spacing w:line="360" w:lineRule="auto"/>
        <w:ind w:firstLine="720"/>
        <w:jc w:val="both"/>
      </w:pPr>
      <w:r>
        <w:t>Купчин А.Н., Новиков Б.Д. рынок недвижимости: состояние и тенденции развития. – Учебное пособие. М.: 1995.</w:t>
      </w:r>
    </w:p>
    <w:p w:rsidR="00951F25" w:rsidRDefault="00951F25">
      <w:pPr>
        <w:pStyle w:val="30"/>
        <w:numPr>
          <w:ilvl w:val="0"/>
          <w:numId w:val="1"/>
        </w:numPr>
        <w:spacing w:line="360" w:lineRule="auto"/>
        <w:ind w:firstLine="720"/>
        <w:jc w:val="both"/>
      </w:pPr>
      <w:r>
        <w:t xml:space="preserve">Новиков Б.Д. Рынок и оценка недвижимости в России. – М.: «Экзамен», 2000.  </w:t>
      </w:r>
    </w:p>
    <w:p w:rsidR="00951F25" w:rsidRDefault="00951F25">
      <w:pPr>
        <w:spacing w:line="360" w:lineRule="auto"/>
        <w:ind w:left="900" w:firstLine="720"/>
        <w:jc w:val="both"/>
        <w:rPr>
          <w:sz w:val="28"/>
        </w:rPr>
      </w:pPr>
      <w:r>
        <w:rPr>
          <w:sz w:val="28"/>
        </w:rPr>
        <w:t>4)</w:t>
      </w:r>
      <w:r>
        <w:rPr>
          <w:rStyle w:val="a5"/>
        </w:rPr>
        <w:t xml:space="preserve"> </w:t>
      </w:r>
      <w:r>
        <w:rPr>
          <w:rStyle w:val="a5"/>
        </w:rPr>
        <w:tab/>
      </w:r>
      <w:r>
        <w:rPr>
          <w:sz w:val="28"/>
        </w:rPr>
        <w:t xml:space="preserve">Комов Б. В. Взаимодействие государственных и рыночных механизмов управления земельными ресурсами. М.. 1996. </w:t>
      </w:r>
      <w:bookmarkStart w:id="1" w:name="_GoBack"/>
      <w:bookmarkEnd w:id="1"/>
    </w:p>
    <w:sectPr w:rsidR="00951F25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F25" w:rsidRDefault="00951F25">
      <w:r>
        <w:separator/>
      </w:r>
    </w:p>
  </w:endnote>
  <w:endnote w:type="continuationSeparator" w:id="0">
    <w:p w:rsidR="00951F25" w:rsidRDefault="0095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F25" w:rsidRDefault="00951F25">
      <w:r>
        <w:separator/>
      </w:r>
    </w:p>
  </w:footnote>
  <w:footnote w:type="continuationSeparator" w:id="0">
    <w:p w:rsidR="00951F25" w:rsidRDefault="0095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5" w:rsidRDefault="00951F25">
    <w:pPr>
      <w:pStyle w:val="a6"/>
      <w:framePr w:wrap="around" w:vAnchor="text" w:hAnchor="margin" w:xAlign="right" w:y="1"/>
      <w:rPr>
        <w:rStyle w:val="a7"/>
      </w:rPr>
    </w:pPr>
  </w:p>
  <w:p w:rsidR="00951F25" w:rsidRDefault="00951F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F25" w:rsidRDefault="00445852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951F25" w:rsidRDefault="00951F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1021B"/>
    <w:multiLevelType w:val="singleLevel"/>
    <w:tmpl w:val="D7509D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2CBC5A6A"/>
    <w:multiLevelType w:val="singleLevel"/>
    <w:tmpl w:val="D7509D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78E94B45"/>
    <w:multiLevelType w:val="multilevel"/>
    <w:tmpl w:val="46BABA4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852"/>
    <w:rsid w:val="003A3B77"/>
    <w:rsid w:val="00445852"/>
    <w:rsid w:val="00951F25"/>
    <w:rsid w:val="00A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4565-E6D9-4AF1-A78C-502EC948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36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jc w:val="center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widowControl w:val="0"/>
      <w:outlineLvl w:val="3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ind w:firstLine="540"/>
      <w:jc w:val="both"/>
    </w:pPr>
    <w:rPr>
      <w:sz w:val="28"/>
    </w:rPr>
  </w:style>
  <w:style w:type="paragraph" w:styleId="30">
    <w:name w:val="Body Text 3"/>
    <w:basedOn w:val="a"/>
    <w:semiHidden/>
    <w:rPr>
      <w:sz w:val="28"/>
    </w:rPr>
  </w:style>
  <w:style w:type="paragraph" w:customStyle="1" w:styleId="FR1">
    <w:name w:val="FR1"/>
    <w:pPr>
      <w:widowControl w:val="0"/>
      <w:spacing w:before="400"/>
      <w:ind w:left="40" w:firstLine="300"/>
      <w:jc w:val="both"/>
    </w:pPr>
    <w:rPr>
      <w:rFonts w:ascii="Arial Narrow" w:hAnsi="Arial Narrow"/>
      <w:i/>
      <w:snapToGrid w:val="0"/>
      <w:sz w:val="16"/>
    </w:rPr>
  </w:style>
  <w:style w:type="paragraph" w:styleId="a3">
    <w:name w:val="Body Text Indent"/>
    <w:basedOn w:val="a"/>
    <w:semiHidden/>
    <w:pPr>
      <w:spacing w:before="180" w:line="360" w:lineRule="auto"/>
      <w:ind w:left="40"/>
      <w:jc w:val="both"/>
    </w:pPr>
    <w:rPr>
      <w:sz w:val="26"/>
    </w:rPr>
  </w:style>
  <w:style w:type="paragraph" w:styleId="a4">
    <w:name w:val="Body Text"/>
    <w:basedOn w:val="a"/>
    <w:semiHidden/>
    <w:pPr>
      <w:jc w:val="center"/>
    </w:pPr>
    <w:rPr>
      <w:sz w:val="28"/>
    </w:rPr>
  </w:style>
  <w:style w:type="character" w:customStyle="1" w:styleId="a5">
    <w:name w:val="знак сноски"/>
    <w:rPr>
      <w:vertAlign w:val="superscript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работа.В-7 Метод капитализации дохода </vt:lpstr>
    </vt:vector>
  </TitlesOfParts>
  <Manager>ТюмГНГУ</Manager>
  <Company>ТюмГНГУ</Company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работа.В-7 Метод капитализации дохода </dc:title>
  <dc:subject>ТюмГНГУ. Вариант № 7</dc:subject>
  <dc:creator>Калачев Сергей Анатольевич</dc:creator>
  <cp:keywords>Контрольная</cp:keywords>
  <dc:description>(3452) 322896 для абонента 90278_x000d_
Спасибо!!!!!</dc:description>
  <cp:lastModifiedBy>admin</cp:lastModifiedBy>
  <cp:revision>2</cp:revision>
  <dcterms:created xsi:type="dcterms:W3CDTF">2014-02-12T17:18:00Z</dcterms:created>
  <dcterms:modified xsi:type="dcterms:W3CDTF">2014-02-12T17:18:00Z</dcterms:modified>
  <cp:category>МТЭК.МОзс-01</cp:category>
</cp:coreProperties>
</file>