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4" w:rsidRDefault="00E87C21">
      <w:pPr>
        <w:pStyle w:val="1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Введение</w:t>
      </w:r>
    </w:p>
    <w:p w:rsidR="00703334" w:rsidRDefault="00703334">
      <w:pPr>
        <w:pStyle w:val="1"/>
        <w:rPr>
          <w:rFonts w:ascii="Courier New" w:hAnsi="Courier New"/>
          <w:b w:val="0"/>
          <w:sz w:val="28"/>
        </w:rPr>
      </w:pP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ab/>
        <w:t>Проблемы, связанные с химическим и радиоактивным заражением местности, а также по защите населения при этих условиях становятся все более актуальными в наши дни. Особенно после того, когда ядерная наука шагнула далеко вперед в своем развитии: на первом месте, конечно, стоит создание ядерного оружия. После аварии на Чернобыльской АЭС и на некоторых предприятиях, связанных с ядерной промышленностью, люди все больше и больше стали задумываться над этими проблемами и по разработке эффективных мероприятий по защите населения. Ведь до сих пор люди, получившие прямое или косвенное облучение, умирают, рождаются дети с отклонениями. Поэтому многие стали протестовать, выражая свой протест сначала письмами, обращенными к правительству. Позже к ним присоединились представители экологических движений разных оттенков, потребовавшие запрещения ядерного производства и экспорта. А в последние года стали выражать свой протест в форме пикетирования не только открывающиеся, но и действующие  АЭС (например, в Чехии “зеленые” пикетировали атомную станцию Темелин). С одной стороны, они правы со своей стороны, но, с другой стороны, обстановка в мире обстоит совсем по другому. Дело в том, что ядерная энергетика должна развиваться, становиться более безопасной. От “чернобыльского синдрома” излечит не сворачивание атомной отрасли (это для России, кстати, невозможно и по финансовым соображениям), а разработка новых безопасных АЭС. Пока не все страны могут себе позволить  отказаться от АЭС, как это сделали США, закрыв несколько АЭС.</w:t>
      </w: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sz w:val="28"/>
        </w:rPr>
      </w:pPr>
    </w:p>
    <w:p w:rsidR="00703334" w:rsidRDefault="00E87C21">
      <w:pPr>
        <w:pStyle w:val="12"/>
        <w:jc w:val="center"/>
        <w:rPr>
          <w:sz w:val="28"/>
        </w:rPr>
      </w:pPr>
      <w:r>
        <w:rPr>
          <w:sz w:val="28"/>
        </w:rPr>
        <w:t>Методика оценки радиационной обстановки</w:t>
      </w: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Радиационная обстановка складывается на территории административного района, населенного пункта или объекта в результате радиоактивного заражения местности и всех расположенных на ней предметов и требует принятия определенных мер защиты, исключающих или уменьшающих радиационные потери среди населения.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Под оценкой  радиационной  обстановки понимается решение основных задач по различным вариантам действий формирований, а также производственной деятельности объекта в условиях радиоактивного заражения, анализу полученных результатов и выбору наиболее целесообразных вариантов действий, при которых исключаются радиационные потери. Оценка производится по результатам прогнозирования последствий  применения  ядерного оружия и по данным радиационной разведки.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Поскольку процесс формирования радиоактивных следов  длится  несколько часов, то предварительно проводят оценку радиационной обстановки по результатам прогнозирования радиоактивного заражения  местности. Эти данные позволяют заблаговременно,  т.е.  до подхода радиоактивного облака к объекту,  провести мероприятия по защите населения,  рабочих, служащих, подготовке предприятия к переводу на режим работы в условиях радиоактивного заражения,  подготовке  противорадиационных  укрытий  и средств индивидуальной защиты.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Исходные данные для прогнозирования уровней радиоактивного  заражения: время осуществления ядерного взрыва, его координаты, вид и мощность взрыва,  направление и скорость среднего ветра. Только достоверные данные  о радиоактивном заражении,  полученные органами разведки с помощью дозиметрических приборов,  позволяют объективно оценить радиационную обстановку.  На объекте разведка ведется постами радиационного наблюдения, звеньями и группами радиационной разведки.  Они устанавливают начало радиоактивного заражения, измеряют уровни радиации и иногда определяют время наземного ядерного взрыва.  Полученные  данные  об уровнях радиации  и  времени измерений заносятся в журнал радиационной разведки и наблюдения.  По нанесенным на схемы уровням радиации  можно провести границы зон радиоактивного заражения.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Степень опасности и возможное влияние последствий  радиоактивного заражения оцениваются  путем  расчета экспозиционных доз излучения,  с учетом которых определяются: возможные радиационные потери; допустимая продолжительность пребывания людей на зараженной местности;  время начала и продолжительность проведения спасательных и неотложных  аварийно-восстановительных работ  на зараженной местности;  допустимое время начала преодоления участков радиоактивного  заражения;  режимы  защиты рабочих, служащих и производственной деятельности объектов и т.д.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Основные исходные данные для оценки радиационной обстановки: время ядерного  взрыва,  от  которого  произошло радиоактивное заражение, уровни радиации и время их измерения;  значения коэффициентов ослабления радиации  и  допустимые  дозы излучения.  При выполнении расчетов, связанных с выявлением и оценкой радиационной  обстановки,  используют аналитические, графические и табличные зависимости, а также дозиметрические и расчетные линейки.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При решении задач по оценке радиационной обстановки обычно приводят уровни радиации на 1 час после взрыва.  При этом могут встретиться два варианта: когда время взрыва известно и когда оно неизвестно.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Для расчетов возможных экспозиционных доз излучения при действиях на местности,  зараженной радиоактивными веществами, нужны сведения об уровнях радиации,  продолжительности нахождения  людей  на  зараженной местности и степени защищенности. Степень защищенности характеризуется коэффициентом ослабления экспозиционной дозы радиации  Косл,  значения которого для  зданий  и  транспортных  средств приведены в таблице1.</w:t>
      </w: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  <w:lang w:val="en-US"/>
        </w:rPr>
      </w:pPr>
    </w:p>
    <w:p w:rsidR="00703334" w:rsidRDefault="00703334">
      <w:pPr>
        <w:pStyle w:val="12"/>
        <w:jc w:val="both"/>
        <w:rPr>
          <w:b w:val="0"/>
          <w:lang w:val="en-US"/>
        </w:rPr>
      </w:pPr>
    </w:p>
    <w:p w:rsidR="00703334" w:rsidRDefault="00703334">
      <w:pPr>
        <w:pStyle w:val="12"/>
        <w:jc w:val="both"/>
        <w:rPr>
          <w:b w:val="0"/>
          <w:lang w:val="en-US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E87C21">
      <w:pPr>
        <w:pStyle w:val="12"/>
        <w:jc w:val="right"/>
        <w:rPr>
          <w:b w:val="0"/>
        </w:rPr>
      </w:pPr>
      <w:r>
        <w:rPr>
          <w:b w:val="0"/>
        </w:rPr>
        <w:t>Таблица 1</w:t>
      </w: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943"/>
      </w:tblGrid>
      <w:tr w:rsidR="00703334">
        <w:tc>
          <w:tcPr>
            <w:tcW w:w="6345" w:type="dxa"/>
          </w:tcPr>
          <w:p w:rsidR="00703334" w:rsidRDefault="00E87C21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укрытий и транспортных</w:t>
            </w:r>
          </w:p>
          <w:p w:rsidR="00703334" w:rsidRDefault="00E87C21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</w:rPr>
              <w:t>средств или условия действия населения</w:t>
            </w:r>
          </w:p>
          <w:p w:rsidR="00703334" w:rsidRDefault="00703334">
            <w:pPr>
              <w:pStyle w:val="12"/>
              <w:jc w:val="center"/>
              <w:rPr>
                <w:sz w:val="28"/>
              </w:rPr>
            </w:pPr>
          </w:p>
        </w:tc>
        <w:tc>
          <w:tcPr>
            <w:tcW w:w="2943" w:type="dxa"/>
          </w:tcPr>
          <w:p w:rsidR="00703334" w:rsidRDefault="00E87C21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</w:rPr>
              <w:t>Косл</w:t>
            </w:r>
          </w:p>
        </w:tc>
      </w:tr>
      <w:tr w:rsidR="00703334">
        <w:trPr>
          <w:trHeight w:val="7430"/>
        </w:trPr>
        <w:tc>
          <w:tcPr>
            <w:tcW w:w="6345" w:type="dxa"/>
          </w:tcPr>
          <w:p w:rsidR="00703334" w:rsidRDefault="00703334">
            <w:pPr>
              <w:pStyle w:val="12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Открытое расположение на местности                                                      </w:t>
            </w:r>
          </w:p>
          <w:p w:rsidR="00703334" w:rsidRDefault="00703334">
            <w:pPr>
              <w:pStyle w:val="12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ТРАНСПОРТНЫЕ СРЕДСТВА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Автомобили и автобусы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Железнодорожные платформы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Крытые вагоны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Пассажирские вагоны, локомотивы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ПРОМЫШЛЕННЫЕ И АДМИНИСТРАТИВНЫЕ ЗДАНИЯ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Производственные одноэтажные здания (цеха)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Производственные и административные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трехэтажные здания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ЖИЛЫЕ КАМЕННЫЕ ДОМА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Одноэтажные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                      Двухэтажные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Трехэтажные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Пятиэтажные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ЖИЛЫЕ ДЕРЕВЯННЫЕ ДОМА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Одноэтажные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      Двухэтажные      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Подвал                                                                                        </w:t>
            </w:r>
          </w:p>
          <w:p w:rsidR="00703334" w:rsidRDefault="00703334">
            <w:pPr>
              <w:pStyle w:val="12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СРЕДНЕМ ДЛЯ НАСЕЛЕНИЯ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Городского                                </w:t>
            </w:r>
          </w:p>
          <w:p w:rsidR="00703334" w:rsidRDefault="00E87C21">
            <w:pPr>
              <w:pStyle w:val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Сельского                                 </w:t>
            </w:r>
          </w:p>
          <w:p w:rsidR="00703334" w:rsidRDefault="00703334">
            <w:pPr>
              <w:pStyle w:val="12"/>
              <w:jc w:val="both"/>
              <w:rPr>
                <w:b w:val="0"/>
                <w:sz w:val="24"/>
              </w:rPr>
            </w:pPr>
          </w:p>
        </w:tc>
        <w:tc>
          <w:tcPr>
            <w:tcW w:w="2943" w:type="dxa"/>
          </w:tcPr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1,5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703334" w:rsidRDefault="00E87C21">
            <w:pPr>
              <w:pStyle w:val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703334" w:rsidRDefault="00703334">
            <w:pPr>
              <w:pStyle w:val="12"/>
              <w:jc w:val="center"/>
              <w:rPr>
                <w:b w:val="0"/>
                <w:sz w:val="24"/>
              </w:rPr>
            </w:pPr>
          </w:p>
        </w:tc>
      </w:tr>
    </w:tbl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В штабах ГО имеются таблицы,  по которым по уровню радиации, времени после взрыва и времени пребывания определяется экспозиционная доза излучения.  В таблице ниже приведены экспозиционные дозы  излучения только для уровня радиации 100Р/ч на 1 час после ядерного взрыва. Чтобы определить экспозиционную дозу излучения для другого значения уровня радиации  на  1  час после взрыва,  необходимо найденную по таблице экспозиционную дозу, полученную за указанное время пребывания с начала облучения после взрыва,  умножить на отношение P1/100, где P1 - фактический уровень радиации на 1 час после взрыва.</w:t>
      </w: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tbl>
      <w:tblPr>
        <w:tblW w:w="0" w:type="auto"/>
        <w:tblInd w:w="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709"/>
        <w:gridCol w:w="142"/>
        <w:gridCol w:w="425"/>
        <w:gridCol w:w="425"/>
        <w:gridCol w:w="851"/>
        <w:gridCol w:w="850"/>
        <w:gridCol w:w="851"/>
        <w:gridCol w:w="850"/>
        <w:gridCol w:w="851"/>
        <w:gridCol w:w="850"/>
        <w:gridCol w:w="851"/>
      </w:tblGrid>
      <w:tr w:rsidR="00703334">
        <w:trPr>
          <w:cantSplit/>
          <w:trHeight w:val="248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Время начала облучения с момента взрыва, ч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Время пребывания, ч</w:t>
            </w:r>
          </w:p>
        </w:tc>
      </w:tr>
      <w:tr w:rsidR="00703334">
        <w:trPr>
          <w:cantSplit/>
          <w:trHeight w:val="248"/>
        </w:trPr>
        <w:tc>
          <w:tcPr>
            <w:tcW w:w="116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3334" w:rsidRDefault="00703334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12</w:t>
            </w:r>
          </w:p>
        </w:tc>
      </w:tr>
      <w:tr w:rsidR="00703334">
        <w:trPr>
          <w:cantSplit/>
          <w:trHeight w:val="248"/>
        </w:trPr>
        <w:tc>
          <w:tcPr>
            <w:tcW w:w="116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3334" w:rsidRDefault="00703334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765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Экспозиционные дозы излучения (Р), получаемые на откр.  местности при уровне радиации 100 Р/ч на 1 ч после ЯВ</w:t>
            </w:r>
          </w:p>
        </w:tc>
      </w:tr>
      <w:tr w:rsidR="00703334">
        <w:trPr>
          <w:cantSplit/>
          <w:trHeight w:val="490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703334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7655" w:type="dxa"/>
            <w:gridSpan w:val="11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3334" w:rsidRDefault="00703334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ind w:left="-20" w:firstLine="20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113,0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158,0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186,0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204,0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231,0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249,0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262,0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273,0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310,0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237,0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174,0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122,0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96,6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80,5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69,4</w:t>
            </w:r>
          </w:p>
        </w:tc>
      </w:tr>
      <w:tr w:rsidR="00703334">
        <w:trPr>
          <w:trHeight w:val="248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60,8</w:t>
            </w:r>
          </w:p>
        </w:tc>
      </w:tr>
      <w:tr w:rsidR="00703334">
        <w:trPr>
          <w:trHeight w:val="256"/>
        </w:trPr>
        <w:tc>
          <w:tcPr>
            <w:tcW w:w="116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3334" w:rsidRDefault="00E87C21">
            <w:pPr>
              <w:pStyle w:val="1"/>
              <w:jc w:val="right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35,1</w:t>
            </w:r>
          </w:p>
        </w:tc>
      </w:tr>
    </w:tbl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703334">
      <w:pPr>
        <w:pStyle w:val="12"/>
        <w:jc w:val="both"/>
        <w:rPr>
          <w:b w:val="0"/>
        </w:rPr>
      </w:pP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По многочисленным данным,  собранным в Хиросиме и Нагасаки, отмечены следующие степени поражения людей после воздействия на них однократных доз излучения:</w:t>
      </w: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1100 - 5000 Р      - 100% смертность в течение одной недели;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550 - 750  Р      - смертность почти 100%; небольшое количество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                  людей, оставшихся в живых, выздоравливает в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                  течении примерно 6 месяцев;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400 - 550  Р      - все пораженные заболевают лучевой болезнью;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                  смертность около 50%;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270 - 330  Р      - почти все пораженные заболевают лучевой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                  болезнью; смертность 20%;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180 - 220  Р      - 50% пораженных заболевают лучевой болезнью;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130 - 170  Р      - 25% пораженных заболевают лучевой болезнью;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80 - 120  Р      - 10% пораженных чувствует недомогание и усталость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                  без серьезной потери трудоспособности.</w:t>
      </w:r>
    </w:p>
    <w:p w:rsidR="00703334" w:rsidRDefault="00E87C21">
      <w:pPr>
        <w:pStyle w:val="12"/>
        <w:jc w:val="both"/>
        <w:rPr>
          <w:b w:val="0"/>
        </w:rPr>
      </w:pPr>
      <w:r>
        <w:rPr>
          <w:b w:val="0"/>
        </w:rPr>
        <w:t xml:space="preserve">    0 -  50  Р      - отсутствие признаков поражения</w:t>
      </w:r>
    </w:p>
    <w:p w:rsidR="00703334" w:rsidRDefault="00703334">
      <w:pPr>
        <w:pStyle w:val="12"/>
        <w:jc w:val="both"/>
        <w:rPr>
          <w:b w:val="0"/>
        </w:rPr>
      </w:pP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Если же период облучения будет больше четырех суток,  то в  облученном организме начинают протекать процессы восстановления пораженных клеток. Эффективность воздействия на организм человека однократной дозы излучения  с  течением времени после облучения составляет через:  1 неделю - 90%, 3 недели - 60%, 1 месяц - 50%, 3 месяца - 12%. Например, если люди были облучены экспозиционной дозой 30P три недели назад,  то остаточная доза радиации составляет 30 * 0.6  =  18Р.  Таким  образом, зная возможные дозы излучения и степень поражения ими людей, можно определить вероятные потери среди населения.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Под режимом  защиты рабочих,  служащих и прозводственной деятельности объекта понимается порядок применения средств и способов  защиты людей, предусматривающий  максимальное уменьшение возможных экспозиционных доз излучения и наиболее целесообразные их действия в зоне радиоактивного заражения.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Режимы защиты для различных уровней радиации и условий производственной деятельности,  пользуясь  расчетными  формулами,  определяют в мирное время, т.е. до радиоактивного заражения территории объекта.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Определение допустимого времени начала преодоления зон (участков) радиоактивного заражения производится на основании данных радиационной разведки по  уровням радиации на маршруте движения и заданной экспозиционной дозе излучения. </w:t>
      </w:r>
    </w:p>
    <w:p w:rsidR="00703334" w:rsidRDefault="00E87C21">
      <w:pPr>
        <w:pStyle w:val="12"/>
        <w:jc w:val="both"/>
        <w:rPr>
          <w:b w:val="0"/>
          <w:sz w:val="28"/>
        </w:rPr>
      </w:pPr>
      <w:r>
        <w:rPr>
          <w:b w:val="0"/>
          <w:sz w:val="28"/>
        </w:rPr>
        <w:t xml:space="preserve">     Для облегчения  решения  задач  по оценке радиационной обстановки для уровней радиации от десятков до тысяч рентген в час  разрабатывают возможные режимы  проведения СНАВР и производственной деятельности для каждого объекта,  которые оформляют в виде таблиц и графиков и используют для  принятия решений в условиях непосредственного радиоактивного заражения территории объекта.</w:t>
      </w: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</w:p>
    <w:p w:rsidR="00703334" w:rsidRDefault="00E87C21">
      <w:pPr>
        <w:pStyle w:val="11"/>
        <w:numPr>
          <w:ilvl w:val="0"/>
          <w:numId w:val="0"/>
        </w:numPr>
        <w:rPr>
          <w:rFonts w:ascii="Courier New" w:hAnsi="Courier New"/>
          <w:sz w:val="28"/>
        </w:rPr>
      </w:pPr>
      <w:bookmarkStart w:id="0" w:name="_Toc405648936"/>
      <w:bookmarkStart w:id="1" w:name="_Toc406413688"/>
      <w:r>
        <w:rPr>
          <w:rFonts w:ascii="Courier New" w:hAnsi="Courier New"/>
          <w:sz w:val="28"/>
        </w:rPr>
        <w:t>Заключение</w:t>
      </w:r>
      <w:bookmarkEnd w:id="0"/>
      <w:bookmarkEnd w:id="1"/>
    </w:p>
    <w:p w:rsidR="00703334" w:rsidRDefault="00703334">
      <w:pPr>
        <w:pStyle w:val="1"/>
      </w:pP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Проблемы радиационной безопасности занимают далеко не последнее место в нашей жизни. Вопросами разрешения данной проблемы задаются многие люди, как те, которые живут воспоминаниями от Чернобыльской катастрофы, так и те, местожительство которых находится неподалеку от территории атомной станции.</w:t>
      </w: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 xml:space="preserve">Но что бы ни говорилось о якобы обеспеченной экологической чистоте ядерной энергетики, возможность загрязнения окружающей среды существует практически на всех этапах производства, как ядерной энергетики, так и ядерного оружия. Хотя вероятность загрязнения окружающей среды  при нормальной работе атомной станции невелика, но аварии могут иметь катастрофические последствия. </w:t>
      </w:r>
    </w:p>
    <w:p w:rsidR="00703334" w:rsidRDefault="00E87C21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Ядерное оружие - огромная угроза всему человечеству. Так, по расчетам американских специалистов, взрыв термоядерного заряда мощностью 20 Мт может сравнять с землей все жилые дома в радиусе 24 км и уничтожить все живое на расстоянии 140 км от эпицентра.</w:t>
      </w:r>
    </w:p>
    <w:p w:rsidR="00703334" w:rsidRDefault="00E87C21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Учитывая накопленные запасы ядерного оружия и его разрушительную силу, специалисты считают, что мировая война с применением ядерного оружия означала бы гибель сотен миллионов людей, превращение в руины всех достижений мировой цивилизации и культуры.</w:t>
      </w:r>
    </w:p>
    <w:p w:rsidR="00703334" w:rsidRDefault="00E87C21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К счастью, окончание холодной войны немного разрядило международную политическую обстановку. Подписаны ряд договоров о прекращении ядерных испытаний и ядерном разоружении.</w:t>
      </w:r>
    </w:p>
    <w:p w:rsidR="00703334" w:rsidRDefault="00E87C21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Также важной проблемой на сегодняшний день является безопасная эксплуатация атомных электростанций. Ведь самая обыкновенное невыполнение техники безопасности  может привести к таким же последствиям что и ядерная войны.</w:t>
      </w:r>
    </w:p>
    <w:p w:rsidR="00703334" w:rsidRDefault="00E87C21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Сегодня люди должны подумать о своем будущем, о том в каком мире они будут жить уже в бл</w:t>
      </w:r>
      <w:bookmarkStart w:id="2" w:name="_Toc406413689"/>
      <w:r>
        <w:rPr>
          <w:rFonts w:ascii="Courier New" w:hAnsi="Courier New"/>
          <w:b w:val="0"/>
          <w:sz w:val="28"/>
        </w:rPr>
        <w:t>ижайшие десятилетия.</w:t>
      </w: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ind w:firstLine="851"/>
        <w:jc w:val="both"/>
        <w:rPr>
          <w:rFonts w:ascii="Courier New" w:hAnsi="Courier New"/>
          <w:b w:val="0"/>
          <w:sz w:val="28"/>
        </w:rPr>
      </w:pPr>
    </w:p>
    <w:p w:rsidR="00703334" w:rsidRDefault="00E87C21">
      <w:pPr>
        <w:pStyle w:val="11"/>
        <w:numPr>
          <w:ilvl w:val="0"/>
          <w:numId w:val="0"/>
        </w:num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Использованная литература</w:t>
      </w:r>
      <w:bookmarkEnd w:id="2"/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Гражданская оборона, 1982.</w:t>
      </w: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Максимов М.Т. «Радиоактивные загрязнения и их измерение» М.: «Энергоатомиздат», 1989г.</w:t>
      </w: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E87C21">
      <w:pPr>
        <w:pStyle w:val="1"/>
        <w:jc w:val="both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 xml:space="preserve"> «Обсуждение проблем национальной экологической политики РФ» Государство и право №1, 1994 г.</w:t>
      </w: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"/>
        <w:jc w:val="both"/>
        <w:rPr>
          <w:rFonts w:ascii="Courier New" w:hAnsi="Courier New"/>
          <w:b w:val="0"/>
          <w:sz w:val="28"/>
        </w:rPr>
      </w:pPr>
    </w:p>
    <w:p w:rsidR="00703334" w:rsidRDefault="00703334">
      <w:pPr>
        <w:pStyle w:val="12"/>
        <w:jc w:val="both"/>
        <w:rPr>
          <w:b w:val="0"/>
          <w:sz w:val="28"/>
        </w:rPr>
      </w:pPr>
      <w:bookmarkStart w:id="3" w:name="_GoBack"/>
      <w:bookmarkEnd w:id="3"/>
    </w:p>
    <w:sectPr w:rsidR="00703334">
      <w:pgSz w:w="11906" w:h="16838"/>
      <w:pgMar w:top="1134" w:right="99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1"/>
      <w:lvlText w:val="%1."/>
      <w:legacy w:legacy="1" w:legacySpace="144" w:legacyIndent="0"/>
      <w:lvlJc w:val="left"/>
    </w:lvl>
    <w:lvl w:ilvl="1">
      <w:start w:val="1"/>
      <w:numFmt w:val="decimal"/>
      <w:pStyle w:val="21"/>
      <w:lvlText w:val="%1.%2"/>
      <w:legacy w:legacy="1" w:legacySpace="144" w:legacyIndent="0"/>
      <w:lvlJc w:val="left"/>
    </w:lvl>
    <w:lvl w:ilvl="2">
      <w:start w:val="1"/>
      <w:numFmt w:val="decimal"/>
      <w:pStyle w:val="31"/>
      <w:lvlText w:val="%1.%2.%3"/>
      <w:legacy w:legacy="1" w:legacySpace="144" w:legacyIndent="0"/>
      <w:lvlJc w:val="left"/>
    </w:lvl>
    <w:lvl w:ilvl="3">
      <w:start w:val="1"/>
      <w:numFmt w:val="decimal"/>
      <w:pStyle w:val="41"/>
      <w:lvlText w:val="%1.%2.%3.%4"/>
      <w:legacy w:legacy="1" w:legacySpace="144" w:legacyIndent="0"/>
      <w:lvlJc w:val="left"/>
    </w:lvl>
    <w:lvl w:ilvl="4">
      <w:start w:val="1"/>
      <w:numFmt w:val="decimal"/>
      <w:pStyle w:val="51"/>
      <w:lvlText w:val="%1.%2.%3.%4.%5"/>
      <w:legacy w:legacy="1" w:legacySpace="144" w:legacyIndent="0"/>
      <w:lvlJc w:val="left"/>
    </w:lvl>
    <w:lvl w:ilvl="5">
      <w:start w:val="1"/>
      <w:numFmt w:val="decimal"/>
      <w:pStyle w:val="61"/>
      <w:lvlText w:val="%1.%2.%3.%4.%5.%6"/>
      <w:legacy w:legacy="1" w:legacySpace="144" w:legacyIndent="0"/>
      <w:lvlJc w:val="left"/>
    </w:lvl>
    <w:lvl w:ilvl="6">
      <w:start w:val="1"/>
      <w:numFmt w:val="decimal"/>
      <w:pStyle w:val="71"/>
      <w:lvlText w:val="%1.%2.%3.%4.%5.%6.%7"/>
      <w:legacy w:legacy="1" w:legacySpace="144" w:legacyIndent="0"/>
      <w:lvlJc w:val="left"/>
    </w:lvl>
    <w:lvl w:ilvl="7">
      <w:start w:val="1"/>
      <w:numFmt w:val="decimal"/>
      <w:pStyle w:val="81"/>
      <w:lvlText w:val="%1.%2.%3.%4.%5.%6.%7.%8"/>
      <w:legacy w:legacy="1" w:legacySpace="144" w:legacyIndent="0"/>
      <w:lvlJc w:val="left"/>
    </w:lvl>
    <w:lvl w:ilvl="8">
      <w:start w:val="1"/>
      <w:numFmt w:val="decimal"/>
      <w:pStyle w:val="91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C21"/>
    <w:rsid w:val="00125141"/>
    <w:rsid w:val="00703334"/>
    <w:rsid w:val="00E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61E8-6F13-4561-B1ED-BA67497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Pr>
      <w:b/>
      <w:sz w:val="24"/>
    </w:rPr>
  </w:style>
  <w:style w:type="paragraph" w:customStyle="1" w:styleId="11">
    <w:name w:val="Заголовок 11"/>
    <w:basedOn w:val="1"/>
    <w:next w:val="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kern w:val="28"/>
      <w:sz w:val="36"/>
    </w:rPr>
  </w:style>
  <w:style w:type="paragraph" w:customStyle="1" w:styleId="21">
    <w:name w:val="Заголовок 21"/>
    <w:basedOn w:val="1"/>
    <w:next w:val="1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i/>
      <w:sz w:val="28"/>
    </w:rPr>
  </w:style>
  <w:style w:type="paragraph" w:customStyle="1" w:styleId="31">
    <w:name w:val="Заголовок 31"/>
    <w:basedOn w:val="1"/>
    <w:next w:val="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 w:val="0"/>
    </w:rPr>
  </w:style>
  <w:style w:type="paragraph" w:customStyle="1" w:styleId="41">
    <w:name w:val="Заголовок 41"/>
    <w:basedOn w:val="1"/>
    <w:next w:val="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</w:rPr>
  </w:style>
  <w:style w:type="paragraph" w:customStyle="1" w:styleId="51">
    <w:name w:val="Заголовок 51"/>
    <w:basedOn w:val="1"/>
    <w:next w:val="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 w:val="0"/>
      <w:sz w:val="22"/>
    </w:rPr>
  </w:style>
  <w:style w:type="paragraph" w:customStyle="1" w:styleId="61">
    <w:name w:val="Заголовок 61"/>
    <w:basedOn w:val="1"/>
    <w:next w:val="1"/>
    <w:pPr>
      <w:numPr>
        <w:ilvl w:val="5"/>
        <w:numId w:val="1"/>
      </w:numPr>
      <w:spacing w:before="240" w:after="60"/>
      <w:jc w:val="both"/>
      <w:outlineLvl w:val="5"/>
    </w:pPr>
    <w:rPr>
      <w:b w:val="0"/>
      <w:i/>
      <w:sz w:val="22"/>
    </w:rPr>
  </w:style>
  <w:style w:type="paragraph" w:customStyle="1" w:styleId="71">
    <w:name w:val="Заголовок 71"/>
    <w:basedOn w:val="1"/>
    <w:next w:val="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b w:val="0"/>
      <w:sz w:val="20"/>
    </w:rPr>
  </w:style>
  <w:style w:type="paragraph" w:customStyle="1" w:styleId="81">
    <w:name w:val="Заголовок 81"/>
    <w:basedOn w:val="1"/>
    <w:next w:val="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b w:val="0"/>
      <w:i/>
      <w:sz w:val="20"/>
    </w:rPr>
  </w:style>
  <w:style w:type="paragraph" w:customStyle="1" w:styleId="91">
    <w:name w:val="Заголовок 91"/>
    <w:basedOn w:val="1"/>
    <w:next w:val="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customStyle="1" w:styleId="10">
    <w:name w:val="Шрифт абзацу за промовчанням1"/>
  </w:style>
  <w:style w:type="paragraph" w:customStyle="1" w:styleId="12">
    <w:name w:val="Текст1"/>
    <w:basedOn w:val="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СБЕРБАНК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сМОЛЬЯНИНОВ</dc:creator>
  <cp:keywords/>
  <cp:lastModifiedBy>Irina</cp:lastModifiedBy>
  <cp:revision>2</cp:revision>
  <cp:lastPrinted>1999-12-29T08:05:00Z</cp:lastPrinted>
  <dcterms:created xsi:type="dcterms:W3CDTF">2014-08-29T06:00:00Z</dcterms:created>
  <dcterms:modified xsi:type="dcterms:W3CDTF">2014-08-29T06:00:00Z</dcterms:modified>
</cp:coreProperties>
</file>