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73" w:rsidRDefault="001C6973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973" w:rsidRDefault="001C6973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973" w:rsidRDefault="001C6973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973" w:rsidRDefault="001C6973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973" w:rsidRDefault="001C6973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973" w:rsidRDefault="001C6973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973" w:rsidRDefault="001C6973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973" w:rsidRDefault="001C6973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973" w:rsidRDefault="001C6973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973" w:rsidRDefault="001C6973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973" w:rsidRDefault="001C6973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973" w:rsidRDefault="001C6973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973" w:rsidRDefault="001C6973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973" w:rsidRDefault="001C6973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918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973">
        <w:rPr>
          <w:rFonts w:ascii="Times New Roman" w:hAnsi="Times New Roman" w:cs="Times New Roman"/>
          <w:b/>
          <w:sz w:val="28"/>
          <w:szCs w:val="28"/>
        </w:rPr>
        <w:t>Методология</w:t>
      </w:r>
      <w:r w:rsidR="00336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336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b/>
          <w:sz w:val="28"/>
          <w:szCs w:val="28"/>
        </w:rPr>
        <w:t>аудитории</w:t>
      </w:r>
      <w:r w:rsidR="00336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b/>
          <w:sz w:val="28"/>
          <w:szCs w:val="28"/>
        </w:rPr>
        <w:t>телевидения</w:t>
      </w:r>
    </w:p>
    <w:p w:rsidR="001C6973" w:rsidRDefault="001C6973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4918" w:rsidRPr="001C6973" w:rsidRDefault="001C6973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844918" w:rsidRPr="001C6973">
        <w:rPr>
          <w:rFonts w:ascii="Times New Roman" w:hAnsi="Times New Roman" w:cs="Times New Roman"/>
          <w:sz w:val="28"/>
          <w:szCs w:val="28"/>
        </w:rPr>
        <w:t>На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Западе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первые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серьезные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шаги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аудиторометрии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осуществлялись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20-30-х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годах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США.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Тогда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же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сложились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такие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методы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опроса,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как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анкетирования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с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высылкой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анкет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по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почте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интервьюирования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face-to-face.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Чуть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позже,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с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развитием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телефонизации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США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связи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с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осознанием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того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факта,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что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информация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недолго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задерживается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памяти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слушателей,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возникли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две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разновидности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методик.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Первая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предполагала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телефонный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опрос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процессе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прослушивания,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вторая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-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на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следующий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день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после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выхода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передачи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эфир.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тот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же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период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возникли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первые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коммерческие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социологические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службы,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специализировавшиеся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исключительно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на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измерениях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="00844918" w:rsidRPr="001C6973">
        <w:rPr>
          <w:rFonts w:ascii="Times New Roman" w:hAnsi="Times New Roman" w:cs="Times New Roman"/>
          <w:sz w:val="28"/>
          <w:szCs w:val="28"/>
        </w:rPr>
        <w:t>аудитории.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Тогда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же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сформировались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первые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методы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исследования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аудитории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газет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журналов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помимо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регулярного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анализа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редакционной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почты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отслеживания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данных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сбыте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тиража,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один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из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этих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методов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предполагал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выяснение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узнаваемости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марки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издания.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Респондентам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предъявляли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примерно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десяток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логотипов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всевозможных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изданий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просили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ответить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ряд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вопросов.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Другой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метод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заключался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том,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что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респонденту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предъявляли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список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изданий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выясняли,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что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он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читал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протяжении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определенного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хронологического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периода.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Европе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первый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опыт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области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аудиторометрии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принадлежит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британской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корпорации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ВВС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(Би-Би-Си),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которая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середины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30-х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годов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ведет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ежедневные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замеры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аудитории.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начале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40-х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годов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США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произошло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этапное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событие.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эксплуатацию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был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введен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прибор,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называвшийся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аудиометр.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Он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подключался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стационарному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радиоприемнику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позволял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фиксировать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режим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его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работы.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Таких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аппаратов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было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изготовлено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более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1000.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Однако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кризис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этого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сбора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измерений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возник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появлением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переносных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автомобильных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приемников.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40-е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годы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ответом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социологов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технические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усовершенствования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рынка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стало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введение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новой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опросной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методики,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именуемой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дневниковой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панелью.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Ее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базовые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особенности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сохранились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сей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день.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Суть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том,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что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определенное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количество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респондентов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течение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недели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заполняют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опросные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таблицы,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созданные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учетом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определенных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социально-демографических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характеристик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учетом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сетки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вещания.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Группа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постоянных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респондентов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выбирается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коммерческой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основе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учетом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определенных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социально-демографических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характеристик.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70-е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годы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появились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приборы,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позволяющие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проводить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измерения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телеаудитории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полуавтоматизированным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электронным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способом.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Вначале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это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были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пульты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управления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телевизорами.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Кнопки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пульта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стали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использоваться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для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фиксации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только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самого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факта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включения,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количества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смотрящих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зрителей.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Прибор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получил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название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«people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meter»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(ТВ-метр).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протяжении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четверти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века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этот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прибор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постоянно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совершенствовался,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требуя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все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меньше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меньше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вмешательства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стороны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телезрителя.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сегодня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это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самый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совершенный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одновременно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самый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дорогостоящий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способ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измерения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телеаудитории.</w:t>
      </w:r>
    </w:p>
    <w:p w:rsidR="00844918" w:rsidRPr="001C6973" w:rsidRDefault="00844918" w:rsidP="001C6973">
      <w:pPr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Специалисты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области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медиаметрии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подчеркивают,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что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-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только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сторона,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которая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принимает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сообщение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(т.е.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пассивная),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сторона,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которая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формирует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повестку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дня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средств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массовой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информации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(т.е.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активная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–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поскольку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воздействует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информационную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политику).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теоретическая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концепция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«активная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аудитория»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относится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двум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академическим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парадигмам.</w:t>
      </w:r>
    </w:p>
    <w:p w:rsidR="00844918" w:rsidRPr="001C6973" w:rsidRDefault="00844918" w:rsidP="001C6973">
      <w:pPr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Первая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—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это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подход,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ядром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которого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является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понятие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«удовлетворение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потребностей»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который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начал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складываться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1970-х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годов.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Теоретики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этого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направления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задались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целью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что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«СМИ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делают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в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отношении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людей»</w:t>
      </w:r>
      <w:r w:rsidRPr="001C6973">
        <w:rPr>
          <w:sz w:val="28"/>
          <w:szCs w:val="28"/>
        </w:rPr>
        <w:t>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что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«люди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делают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со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СМИ»</w:t>
      </w:r>
      <w:r w:rsidRPr="001C6973">
        <w:rPr>
          <w:sz w:val="28"/>
          <w:szCs w:val="28"/>
        </w:rPr>
        <w:t>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почему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у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потребителя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существует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устойчивый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интерес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определенным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медиажанрам.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Предметом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вначале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были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«мыльные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оперы»</w:t>
      </w:r>
      <w:r w:rsidRPr="001C6973">
        <w:rPr>
          <w:sz w:val="28"/>
          <w:szCs w:val="28"/>
        </w:rPr>
        <w:t>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затем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что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люди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стремятся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получить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получают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СМИ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—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помощь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разрешении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каких-то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личных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проблем,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развлечения,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социальную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адаптацию,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информацию?</w:t>
      </w:r>
      <w:r w:rsidRPr="001C6973">
        <w:rPr>
          <w:rStyle w:val="a5"/>
          <w:sz w:val="28"/>
          <w:szCs w:val="28"/>
        </w:rPr>
        <w:footnoteReference w:id="1"/>
      </w:r>
    </w:p>
    <w:p w:rsidR="00844918" w:rsidRPr="001C6973" w:rsidRDefault="00844918" w:rsidP="001C6973">
      <w:pPr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Другая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парадигма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—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«культурные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исследования»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—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начала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складываться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1980-х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годов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стремилась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охватить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более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широкий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круг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отношений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между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медиа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обществом.</w:t>
      </w:r>
    </w:p>
    <w:p w:rsidR="00844918" w:rsidRPr="001C6973" w:rsidRDefault="00844918" w:rsidP="001C6973">
      <w:pPr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начале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1970-х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МакКвейл,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Блумлер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Браун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опубликовали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результаты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своего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том,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какие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цели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отношении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СМИ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преследуют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потребители.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Авторы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исходили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того,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что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пользователь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всегда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действует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рациональным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образом: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он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сознательно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выбирает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СМИ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этих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СМИ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ищет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содержание,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которое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удовлетворяло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его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потребности.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конце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концов,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именно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мотивы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(МакКвейл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назвал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это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мотивом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личной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выгоды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пользы)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выступают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качестве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главного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фактора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формирования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аудиторий,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эстетические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культурные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факторы.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Авторы,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кроме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того,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исходили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того,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что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данной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области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можно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многое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измерить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выразить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формальным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образом</w:t>
      </w:r>
      <w:r w:rsidRPr="001C6973">
        <w:rPr>
          <w:rStyle w:val="a5"/>
          <w:sz w:val="28"/>
          <w:szCs w:val="28"/>
        </w:rPr>
        <w:footnoteReference w:id="2"/>
      </w:r>
      <w:r w:rsidRPr="001C6973">
        <w:rPr>
          <w:sz w:val="28"/>
          <w:szCs w:val="28"/>
        </w:rPr>
        <w:t>;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фактически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они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даже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предложили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типологию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взаимодействия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медиа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человека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такими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позициями,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личные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связи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отношения,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характеристика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личности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потребителя,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его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деятельность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поиску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информации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т.п.</w:t>
      </w:r>
      <w:r w:rsidRPr="001C6973">
        <w:rPr>
          <w:rStyle w:val="a5"/>
          <w:sz w:val="28"/>
          <w:szCs w:val="28"/>
        </w:rPr>
        <w:footnoteReference w:id="3"/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Позже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эту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модель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заимствовали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маркетологи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даже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разработали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несколько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ее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вариантов.</w:t>
      </w:r>
    </w:p>
    <w:p w:rsidR="00844918" w:rsidRPr="001C6973" w:rsidRDefault="00844918" w:rsidP="001C6973">
      <w:pPr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1986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Либес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Кац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осуществили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международный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сравнительный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проект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«Даллас»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(по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названию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известного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сериала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«Даллас»).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самого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начала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исследователи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отказались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методов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контент-анализа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фильма</w:t>
      </w:r>
      <w:r w:rsidRPr="001C6973">
        <w:rPr>
          <w:rStyle w:val="a5"/>
          <w:sz w:val="28"/>
          <w:szCs w:val="28"/>
        </w:rPr>
        <w:footnoteReference w:id="4"/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сосредоточились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том,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реагировали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зрители.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Одной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целей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было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выявить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«процесс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влияния»</w:t>
      </w:r>
      <w:r w:rsidRPr="001C6973">
        <w:rPr>
          <w:sz w:val="28"/>
          <w:szCs w:val="28"/>
        </w:rPr>
        <w:t>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понять,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действительно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американские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фильмы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несут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себе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потенциал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американского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культурного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империализма.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Для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этого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использовалась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весьма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сложная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методология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–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для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определения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степени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вовлеченности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респондентов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фильм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-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«индикатор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влияния»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сериала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–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авторы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использовали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такие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позиции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как: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«критическая»,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«референтная»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(обычная,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некритическая),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«реалистическая»</w:t>
      </w:r>
      <w:r w:rsidR="00336A0B">
        <w:rPr>
          <w:i/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«игровая»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две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ориентации: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свободную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ценностей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нормативную,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ценностную.</w:t>
      </w:r>
    </w:p>
    <w:p w:rsidR="00844918" w:rsidRPr="001C6973" w:rsidRDefault="00844918" w:rsidP="001C6973">
      <w:pPr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Авторы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опрашивали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50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пар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(супружеских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дружеских)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пяти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этнических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сообществ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—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четырех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Израиле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одного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США.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Исследование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показало,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что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более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всего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дистанциировались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фильма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американцы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израильские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киббуцники: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они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отзывались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сериале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большей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части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критично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иронично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(</w:t>
      </w:r>
      <w:r w:rsidRPr="001C6973">
        <w:rPr>
          <w:i/>
          <w:sz w:val="28"/>
          <w:szCs w:val="28"/>
        </w:rPr>
        <w:t>«игровая»</w:t>
      </w:r>
      <w:r w:rsidR="00336A0B">
        <w:rPr>
          <w:i/>
          <w:sz w:val="28"/>
          <w:szCs w:val="28"/>
        </w:rPr>
        <w:t xml:space="preserve"> </w:t>
      </w:r>
      <w:r w:rsidRPr="001C6973">
        <w:rPr>
          <w:sz w:val="28"/>
          <w:szCs w:val="28"/>
        </w:rPr>
        <w:t>позиция).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Наиболее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высокую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степень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вовлеченности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продемонстрировали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индивиды,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чья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культура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наиболее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отдалена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«культуры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Далласа»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-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это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арабы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марокканцы,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чьих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ответах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прослеживалось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стремление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защитить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себя,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соотнести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увиденное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собственными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ценностями,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укрыться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угроз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«модернизации»</w:t>
      </w:r>
      <w:r w:rsidRPr="001C6973">
        <w:rPr>
          <w:rStyle w:val="a5"/>
          <w:sz w:val="28"/>
          <w:szCs w:val="28"/>
        </w:rPr>
        <w:footnoteReference w:id="5"/>
      </w:r>
      <w:r w:rsidRPr="001C6973">
        <w:rPr>
          <w:sz w:val="28"/>
          <w:szCs w:val="28"/>
        </w:rPr>
        <w:t>.</w:t>
      </w:r>
    </w:p>
    <w:p w:rsidR="00844918" w:rsidRPr="001C6973" w:rsidRDefault="00844918" w:rsidP="001C6973">
      <w:pPr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Другое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исследование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«Далласу»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осуществила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голландская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исследовательница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Иен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Анг.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Анг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работала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письмами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читательниц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голландского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женского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журнала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  <w:lang w:val="en-US"/>
        </w:rPr>
        <w:t>Viva</w:t>
      </w:r>
      <w:r w:rsidRPr="001C6973">
        <w:rPr>
          <w:sz w:val="28"/>
          <w:szCs w:val="28"/>
        </w:rPr>
        <w:t>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которые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содержали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впечатления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="001C6973" w:rsidRPr="001C6973">
        <w:rPr>
          <w:sz w:val="28"/>
          <w:szCs w:val="28"/>
        </w:rPr>
        <w:t>комментарии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этом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сериале</w:t>
      </w:r>
      <w:r w:rsidRPr="001C6973">
        <w:rPr>
          <w:rStyle w:val="a5"/>
          <w:sz w:val="28"/>
          <w:szCs w:val="28"/>
        </w:rPr>
        <w:footnoteReference w:id="6"/>
      </w:r>
      <w:r w:rsidRPr="001C6973">
        <w:rPr>
          <w:sz w:val="28"/>
          <w:szCs w:val="28"/>
        </w:rPr>
        <w:t>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Исследовательница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хотела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внести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свой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вклад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общественную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дискуссию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культурном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империализме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американского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телевидения,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которая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тогда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шла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Голландии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других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европейских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странах.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Так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же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Анг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стремилась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обосновать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более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радикальную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феминистскую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точку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зрения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поп-культуру,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включая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жанры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СМИ,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что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интересны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женщинам,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состав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женской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аудитории.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Прежде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работы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феминистской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ориентации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этой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области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базировались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контент-анализе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СМИ,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такой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анализ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всегда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имеет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тенденцию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превращать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нечто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пассивное.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Примером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именно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такого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анализа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может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служить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ряд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работ,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появившихся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начале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1980-х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годов,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прежде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всего,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исследование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Моддески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«женских»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жанрах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(в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основном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«мыльных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операх»</w:t>
      </w:r>
      <w:r w:rsidRPr="001C6973">
        <w:rPr>
          <w:sz w:val="28"/>
          <w:szCs w:val="28"/>
        </w:rPr>
        <w:t>)</w:t>
      </w:r>
      <w:r w:rsidRPr="001C6973">
        <w:rPr>
          <w:rStyle w:val="a5"/>
          <w:sz w:val="28"/>
          <w:szCs w:val="28"/>
        </w:rPr>
        <w:footnoteReference w:id="7"/>
      </w:r>
      <w:r w:rsidRPr="001C6973">
        <w:rPr>
          <w:sz w:val="28"/>
          <w:szCs w:val="28"/>
        </w:rPr>
        <w:t>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Проблема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такого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подхода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заключается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следующем: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если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отталкиваться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«содержания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потребляемых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женщинами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СМИ»</w:t>
      </w:r>
      <w:r w:rsidRPr="001C6973">
        <w:rPr>
          <w:sz w:val="28"/>
          <w:szCs w:val="28"/>
        </w:rPr>
        <w:t>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женская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неизбежно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предстает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довольно-таки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непривлекательном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виде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(как,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например,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«истерически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настроенные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особы,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живущие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любовными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романами»;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«домохозяйки,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от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скуки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без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конца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смотрящие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сериалы»</w:t>
      </w:r>
      <w:r w:rsidRPr="001C6973">
        <w:rPr>
          <w:sz w:val="28"/>
          <w:szCs w:val="28"/>
        </w:rPr>
        <w:t>).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контрасту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этим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использовала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более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активные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—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диалогические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—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методы.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Ее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работа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следовала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этнографической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традиции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предполагала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непосредственную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работу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респондентами.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Выяснилось,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что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больше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всего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зрителей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отталкивала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фильма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пронизывающая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его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идеология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массовой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культуры.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Анг,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таким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образом,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ставила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перед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собой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цель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изучить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идеологические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аспекты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«популярного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телевидения»</w:t>
      </w:r>
      <w:r w:rsidRPr="001C6973">
        <w:rPr>
          <w:sz w:val="28"/>
          <w:szCs w:val="28"/>
        </w:rPr>
        <w:t>.</w:t>
      </w:r>
    </w:p>
    <w:p w:rsidR="00844918" w:rsidRPr="001C6973" w:rsidRDefault="00844918" w:rsidP="001C6973">
      <w:pPr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Свой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вклад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изучение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телевизионных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внес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труд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Морли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«Общенациональная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аудитория»</w:t>
      </w:r>
      <w:r w:rsidRPr="001C6973">
        <w:rPr>
          <w:sz w:val="28"/>
          <w:szCs w:val="28"/>
        </w:rPr>
        <w:t>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опубликованный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1980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г.</w:t>
      </w:r>
      <w:r w:rsidRPr="001C6973">
        <w:rPr>
          <w:rStyle w:val="a5"/>
          <w:sz w:val="28"/>
          <w:szCs w:val="28"/>
        </w:rPr>
        <w:footnoteReference w:id="8"/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книге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изучалась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новостных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аналитических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программ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Великобритании;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ее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основу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составили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групповые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интервью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исследователями,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практическими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работниками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менеджерами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структур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СМИ.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Автора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интересовал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вопрос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том,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следует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некоей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доминирующей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идеологией,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независимо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(относительно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независимо)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того,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что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передается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СМИ,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всегда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разбивается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гораздо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более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широкий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идеологический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спектр.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Анализ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собранных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мнений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подтвердил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вторую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гипотезу: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программы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СМИ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отнюдь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позиционируют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читателя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зрителя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рамках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доминирующей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идеологии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-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«аудитория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—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это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не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театр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кукол,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которых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одна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программа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дергает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в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одну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сторону,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а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другая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—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в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другую»</w:t>
      </w:r>
      <w:r w:rsidRPr="001C6973">
        <w:rPr>
          <w:sz w:val="28"/>
          <w:szCs w:val="28"/>
        </w:rPr>
        <w:t>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Для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потребителя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программы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СМИ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приобретают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смысл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значение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пересечении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нескольких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факторов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—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самого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текста,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социального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происхождения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потребителя,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усвоенного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дискурса.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Таким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образом,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исследователь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пришел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выводу,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что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одну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телевизионных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программ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поэтому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нельзя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рассматривать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нечто,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имеющее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одинаковое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значение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для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всех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членов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аудитории.</w:t>
      </w:r>
    </w:p>
    <w:p w:rsidR="00844918" w:rsidRPr="001C6973" w:rsidRDefault="00844918" w:rsidP="001C6973">
      <w:pPr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Шесть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лет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спустя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Морли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опубликовал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другое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исследование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—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«Семейное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телевидение»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(1986)</w:t>
      </w:r>
      <w:r w:rsidRPr="001C6973">
        <w:rPr>
          <w:rStyle w:val="a5"/>
          <w:sz w:val="28"/>
          <w:szCs w:val="28"/>
        </w:rPr>
        <w:footnoteReference w:id="9"/>
      </w:r>
      <w:r w:rsidRPr="001C6973">
        <w:rPr>
          <w:sz w:val="28"/>
          <w:szCs w:val="28"/>
        </w:rPr>
        <w:t>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котором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он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протестовал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против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искусственного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размежевания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различных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теоретических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концепций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особое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внимание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обращал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фактор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«структуры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власти»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семье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силы,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определяющей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«семейное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мнение»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«привычки»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отношении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программ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телевидения.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Кроме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того,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проекте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Морли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выяснилось,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что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можно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говорить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специфически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«мужском»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специфически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«женском»</w:t>
      </w:r>
      <w:r w:rsidR="00336A0B">
        <w:rPr>
          <w:i/>
          <w:sz w:val="28"/>
          <w:szCs w:val="28"/>
        </w:rPr>
        <w:t xml:space="preserve"> </w:t>
      </w:r>
      <w:r w:rsidRPr="001C6973">
        <w:rPr>
          <w:sz w:val="28"/>
          <w:szCs w:val="28"/>
        </w:rPr>
        <w:t>способах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восприятия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телевидения,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сводимых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сугубо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индивидуальным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привычкам.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Общий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вывод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автора: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чаще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всего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«использование»</w:t>
      </w:r>
      <w:r w:rsidR="00336A0B">
        <w:rPr>
          <w:i/>
          <w:sz w:val="28"/>
          <w:szCs w:val="28"/>
        </w:rPr>
        <w:t xml:space="preserve"> </w:t>
      </w:r>
      <w:r w:rsidRPr="001C6973">
        <w:rPr>
          <w:sz w:val="28"/>
          <w:szCs w:val="28"/>
        </w:rPr>
        <w:t>телевидения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способ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интерпретации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его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программ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самом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деле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зависят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сугубо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индивидуальных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вкусов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привычек,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социальной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принадлежности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зрителя.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Для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советского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периода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были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весьма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характерны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историко-описательные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работы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(с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очень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сильным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идейно-политическим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уклоном),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также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изучение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мастерства,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поэтики,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форм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журналистской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Среди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основных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источников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этого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периода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следует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отметить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ряд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монографий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сборников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статей: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«Телевизионная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аудитория: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структура,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ориентация,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культурная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активность»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(отв.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ред.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Л.Н.</w:t>
      </w:r>
      <w:r w:rsidR="00336A0B" w:rsidRP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Коган);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«Массовая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в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советском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промышленном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городе»</w:t>
      </w:r>
      <w:r w:rsidRPr="001C6973">
        <w:rPr>
          <w:rFonts w:ascii="Times New Roman" w:hAnsi="Times New Roman" w:cs="Times New Roman"/>
          <w:sz w:val="28"/>
          <w:szCs w:val="28"/>
        </w:rPr>
        <w:t>;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«Изучаем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нашу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аудиторию»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В.А.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Григорьевой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В.Е.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Живодерова;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«Телевидение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глазами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социолога»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Б.М.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Фирсова;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«Человек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после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работы»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Л.А.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Гордона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Э.В.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Клопова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др.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Однако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эти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работы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касались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основном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содержания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отдельных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эмпирических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проектов</w:t>
      </w:r>
      <w:r w:rsidRPr="001C6973">
        <w:rPr>
          <w:rStyle w:val="a5"/>
          <w:rFonts w:ascii="Times New Roman" w:hAnsi="Times New Roman"/>
          <w:sz w:val="28"/>
          <w:szCs w:val="28"/>
        </w:rPr>
        <w:footnoteReference w:id="10"/>
      </w:r>
      <w:r w:rsidRPr="001C6973">
        <w:rPr>
          <w:rFonts w:ascii="Times New Roman" w:hAnsi="Times New Roman" w:cs="Times New Roman"/>
          <w:sz w:val="28"/>
          <w:szCs w:val="28"/>
        </w:rPr>
        <w:t>.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Общие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подходы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исследованию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аудитории,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роли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СМИ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жизни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людей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были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первых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порах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зафиксированы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лишь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немногочисленных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работах,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среди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которых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следует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отметить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материалы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встреч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социологов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эстонском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местечке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Кяэрику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1967-1969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гг.</w:t>
      </w:r>
      <w:r w:rsidRPr="001C6973">
        <w:rPr>
          <w:rStyle w:val="a5"/>
          <w:rFonts w:ascii="Times New Roman" w:hAnsi="Times New Roman"/>
          <w:sz w:val="28"/>
          <w:szCs w:val="28"/>
        </w:rPr>
        <w:footnoteReference w:id="11"/>
      </w:r>
      <w:r w:rsidRPr="001C6973">
        <w:rPr>
          <w:rFonts w:ascii="Times New Roman" w:hAnsi="Times New Roman" w:cs="Times New Roman"/>
          <w:sz w:val="28"/>
          <w:szCs w:val="28"/>
        </w:rPr>
        <w:t>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также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монографии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«Массовая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информация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в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советском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промышленном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городе»</w:t>
      </w:r>
      <w:r w:rsidRPr="001C6973">
        <w:rPr>
          <w:rStyle w:val="a5"/>
          <w:rFonts w:ascii="Times New Roman" w:hAnsi="Times New Roman"/>
          <w:sz w:val="28"/>
          <w:szCs w:val="28"/>
        </w:rPr>
        <w:footnoteReference w:id="12"/>
      </w:r>
      <w:r w:rsidRPr="001C6973">
        <w:rPr>
          <w:rFonts w:ascii="Times New Roman" w:hAnsi="Times New Roman" w:cs="Times New Roman"/>
          <w:sz w:val="28"/>
          <w:szCs w:val="28"/>
        </w:rPr>
        <w:t>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«Социология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журналистики»</w:t>
      </w:r>
      <w:r w:rsidRPr="001C6973">
        <w:rPr>
          <w:rStyle w:val="a5"/>
          <w:rFonts w:ascii="Times New Roman" w:hAnsi="Times New Roman"/>
          <w:sz w:val="28"/>
          <w:szCs w:val="28"/>
        </w:rPr>
        <w:footnoteReference w:id="13"/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(под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ред.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Е.П.</w:t>
      </w:r>
      <w:r w:rsidR="00336A0B" w:rsidRP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Прохорова),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«Журналистика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и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аудитория»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«Печать,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телевидение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и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радио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в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жизни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советского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человека»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И.Д.</w:t>
      </w:r>
      <w:r w:rsidR="00336A0B" w:rsidRP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Фомичевой,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«Редакция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и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аудитория»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В.С.</w:t>
      </w:r>
      <w:r w:rsidR="00336A0B" w:rsidRP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Коробейникова.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период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перестройки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(1985-1991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годы)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период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постперестройки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(</w:t>
      </w:r>
      <w:r w:rsidRPr="001C6973">
        <w:rPr>
          <w:rFonts w:ascii="Times New Roman" w:hAnsi="Times New Roman" w:cs="Times New Roman"/>
          <w:i/>
          <w:sz w:val="28"/>
          <w:szCs w:val="28"/>
        </w:rPr>
        <w:t>«демократических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реформ»</w:t>
      </w:r>
      <w:r w:rsidRPr="001C6973">
        <w:rPr>
          <w:rFonts w:ascii="Times New Roman" w:hAnsi="Times New Roman" w:cs="Times New Roman"/>
          <w:sz w:val="28"/>
          <w:szCs w:val="28"/>
        </w:rPr>
        <w:t>)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1990-х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годов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усилился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интерес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социальному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статусу,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общественным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связям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эффектам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СМИ.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Стремительное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развитие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прикладной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телевизионной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социологии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возникновение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рынка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измерений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телевизионной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аудитории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постсоветском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пространстве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произошло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появлением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коммерческого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телевидения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развитием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телевизионно-рекламной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индустрии.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До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начала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90-х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годов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телевидение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нуждалось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социологических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данных,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поскольку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существовавшая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единая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централизованная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система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телевизионного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вещания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предполагала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конкурентной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борьбы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между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каналами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за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аудиторию.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Появление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коммерческого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телевидения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телевизионной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рекламы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актуализировало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потребность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изучении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зрительских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предпочтений,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возникла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необходимость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постоянных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социологических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исследованиях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телеаудитории.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Причем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просто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усредненные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данные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могли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удовлетворить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телеканалы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рекламный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рынок,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поскольку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рекламодателя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интересовала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просто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зрительская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масса,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конкретные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целевые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аудитории,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сегментированные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различным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социальным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признакам.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Первопроходцами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здесь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стали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западные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фирмы,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обладающие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подобным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опытом,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которые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1991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году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повсеместно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внедряли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западные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социологические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технологии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адаптировали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условиям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местного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рынка</w:t>
      </w:r>
      <w:r w:rsidRPr="001C6973">
        <w:rPr>
          <w:rStyle w:val="a5"/>
          <w:rFonts w:ascii="Times New Roman" w:hAnsi="Times New Roman"/>
          <w:sz w:val="28"/>
          <w:szCs w:val="28"/>
        </w:rPr>
        <w:footnoteReference w:id="14"/>
      </w:r>
      <w:r w:rsidRPr="001C6973">
        <w:rPr>
          <w:rFonts w:ascii="Times New Roman" w:hAnsi="Times New Roman" w:cs="Times New Roman"/>
          <w:sz w:val="28"/>
          <w:szCs w:val="28"/>
        </w:rPr>
        <w:t>.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Первыми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стали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«Gullup»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«</w:t>
      </w:r>
      <w:r w:rsidRPr="001C6973">
        <w:rPr>
          <w:rFonts w:ascii="Times New Roman" w:hAnsi="Times New Roman" w:cs="Times New Roman"/>
          <w:i/>
          <w:sz w:val="28"/>
          <w:szCs w:val="28"/>
        </w:rPr>
        <w:t>Mediametri».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Среди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прочих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исследовательских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структур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следует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назвать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«НИСПИ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(новый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институт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социально-психологических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исследований»,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«Gallap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Media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Russia»,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«</w:t>
      </w:r>
      <w:r w:rsidRPr="001C6973">
        <w:rPr>
          <w:rFonts w:ascii="Times New Roman" w:hAnsi="Times New Roman" w:cs="Times New Roman"/>
          <w:i/>
          <w:sz w:val="28"/>
          <w:szCs w:val="28"/>
          <w:lang w:val="en-US"/>
        </w:rPr>
        <w:t>Russian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  <w:lang w:val="en-US"/>
        </w:rPr>
        <w:t>Research</w:t>
      </w:r>
      <w:r w:rsidRPr="001C6973">
        <w:rPr>
          <w:rFonts w:ascii="Times New Roman" w:hAnsi="Times New Roman" w:cs="Times New Roman"/>
          <w:i/>
          <w:sz w:val="28"/>
          <w:szCs w:val="28"/>
        </w:rPr>
        <w:t>»</w:t>
      </w:r>
      <w:r w:rsidRPr="001C6973">
        <w:rPr>
          <w:rFonts w:ascii="Times New Roman" w:hAnsi="Times New Roman" w:cs="Times New Roman"/>
          <w:sz w:val="28"/>
          <w:szCs w:val="28"/>
        </w:rPr>
        <w:t>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НИЦ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РОМИР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Агентство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медиа-сервис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«</w:t>
      </w:r>
      <w:r w:rsidRPr="001C6973">
        <w:rPr>
          <w:rFonts w:ascii="Times New Roman" w:hAnsi="Times New Roman" w:cs="Times New Roman"/>
          <w:i/>
          <w:sz w:val="28"/>
          <w:szCs w:val="28"/>
          <w:lang w:val="en-US"/>
        </w:rPr>
        <w:t>Video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  <w:lang w:val="en-US"/>
        </w:rPr>
        <w:t>International</w:t>
      </w:r>
      <w:r w:rsidRPr="001C6973">
        <w:rPr>
          <w:rFonts w:ascii="Times New Roman" w:hAnsi="Times New Roman" w:cs="Times New Roman"/>
          <w:i/>
          <w:sz w:val="28"/>
          <w:szCs w:val="28"/>
        </w:rPr>
        <w:t>»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(РосМедиаМониторинг»),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</w:rPr>
        <w:t>«</w:t>
      </w:r>
      <w:r w:rsidRPr="001C6973">
        <w:rPr>
          <w:rFonts w:ascii="Times New Roman" w:hAnsi="Times New Roman" w:cs="Times New Roman"/>
          <w:i/>
          <w:sz w:val="28"/>
          <w:szCs w:val="28"/>
          <w:lang w:val="en-US"/>
        </w:rPr>
        <w:t>Public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  <w:lang w:val="en-US"/>
        </w:rPr>
        <w:t>Opinion</w:t>
      </w:r>
      <w:r w:rsidR="00336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i/>
          <w:sz w:val="28"/>
          <w:szCs w:val="28"/>
          <w:lang w:val="en-US"/>
        </w:rPr>
        <w:t>Foundation</w:t>
      </w:r>
      <w:r w:rsidRPr="001C6973">
        <w:rPr>
          <w:rFonts w:ascii="Times New Roman" w:hAnsi="Times New Roman" w:cs="Times New Roman"/>
          <w:i/>
          <w:sz w:val="28"/>
          <w:szCs w:val="28"/>
        </w:rPr>
        <w:t>»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другие</w:t>
      </w:r>
      <w:r w:rsidRPr="001C6973">
        <w:rPr>
          <w:rStyle w:val="a5"/>
          <w:rFonts w:ascii="Times New Roman" w:hAnsi="Times New Roman"/>
          <w:sz w:val="28"/>
          <w:szCs w:val="28"/>
        </w:rPr>
        <w:footnoteReference w:id="15"/>
      </w:r>
      <w:r w:rsidRPr="001C6973">
        <w:rPr>
          <w:rFonts w:ascii="Times New Roman" w:hAnsi="Times New Roman" w:cs="Times New Roman"/>
          <w:sz w:val="28"/>
          <w:szCs w:val="28"/>
        </w:rPr>
        <w:t>.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Традиционным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направлением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социальных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социально-психологических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исследований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для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большинства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исследовательских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центров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СМИ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постсоветского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пространства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является: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1.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исследование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свободы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слова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печати,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взаимоотношений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журналистики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институтами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власти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гражданского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общества,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соответствия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модели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СМИ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потребностям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социальной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системы;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2.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исследование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журналистских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кадров,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новой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типологии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СМИ,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процессов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коммерциализации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прессы,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телевидения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радиовещания;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3.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исследование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текстов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прессы,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телевизионных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радиопередач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эффективности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воздействия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на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аудиторию;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4.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исследование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обучение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новым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технологиям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внедрение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в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деятельность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СМИ;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5.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обеспечение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рекламных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кампаний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кампаний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паблик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рилейшнз;</w:t>
      </w:r>
    </w:p>
    <w:p w:rsidR="00844918" w:rsidRPr="001C6973" w:rsidRDefault="00844918" w:rsidP="001C697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73">
        <w:rPr>
          <w:rFonts w:ascii="Times New Roman" w:hAnsi="Times New Roman" w:cs="Times New Roman"/>
          <w:sz w:val="28"/>
          <w:szCs w:val="28"/>
        </w:rPr>
        <w:t>6.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исследование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аудитории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СМИ,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определение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ее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типологии,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состава,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зрительских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интересов,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тенденций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развития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и</w:t>
      </w:r>
      <w:r w:rsidR="00336A0B">
        <w:rPr>
          <w:rFonts w:ascii="Times New Roman" w:hAnsi="Times New Roman" w:cs="Times New Roman"/>
          <w:sz w:val="28"/>
          <w:szCs w:val="28"/>
        </w:rPr>
        <w:t xml:space="preserve"> </w:t>
      </w:r>
      <w:r w:rsidRPr="001C6973">
        <w:rPr>
          <w:rFonts w:ascii="Times New Roman" w:hAnsi="Times New Roman" w:cs="Times New Roman"/>
          <w:sz w:val="28"/>
          <w:szCs w:val="28"/>
        </w:rPr>
        <w:t>т.д.</w:t>
      </w:r>
    </w:p>
    <w:p w:rsidR="00844918" w:rsidRPr="001C6973" w:rsidRDefault="00844918" w:rsidP="001C69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Первоначально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изучении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телевизионной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как,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впрочем,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других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средств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массовой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коммуникации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—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радио,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прессы,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кино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—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социологи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исходили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анализа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некоторых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обособленных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признаков,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основании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которых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строились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иные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группировки.</w:t>
      </w:r>
    </w:p>
    <w:p w:rsidR="00844918" w:rsidRPr="001C6973" w:rsidRDefault="00844918" w:rsidP="001C69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При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этом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анализ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проводился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следующих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направлениях</w:t>
      </w:r>
      <w:r w:rsidRPr="001C6973">
        <w:rPr>
          <w:rStyle w:val="a5"/>
          <w:sz w:val="28"/>
          <w:szCs w:val="28"/>
        </w:rPr>
        <w:footnoteReference w:id="16"/>
      </w:r>
      <w:r w:rsidRPr="001C6973">
        <w:rPr>
          <w:sz w:val="28"/>
          <w:szCs w:val="28"/>
        </w:rPr>
        <w:t>.</w:t>
      </w:r>
    </w:p>
    <w:p w:rsidR="00844918" w:rsidRPr="001C6973" w:rsidRDefault="00844918" w:rsidP="001C69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Во-первых,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типологии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конструировались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основе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известных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социально-демографических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характеристик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(социальное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положение,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образование,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пол,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возраст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т.д.).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Однако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этот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подход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оказался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явно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ограниченным,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поскольку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лучшем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случае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были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выделены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группы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зрителей,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различающиеся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наибольшей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(наименьшей)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включенностью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процесс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потребления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информации.</w:t>
      </w:r>
    </w:p>
    <w:p w:rsidR="00844918" w:rsidRPr="001C6973" w:rsidRDefault="00844918" w:rsidP="001C69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Во-вторых,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были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созданы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типологии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зависимости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таких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характеристик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объем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структура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потребления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информации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населением.</w:t>
      </w:r>
    </w:p>
    <w:p w:rsidR="00844918" w:rsidRPr="001C6973" w:rsidRDefault="00844918" w:rsidP="001C69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В-третьих,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типологии,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которых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качестве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оснований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использовались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различные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социально-психологические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признаки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респондентов: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ценностные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ориентации,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потребности,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мотивы,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тематические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интересы.</w:t>
      </w:r>
    </w:p>
    <w:p w:rsidR="00844918" w:rsidRPr="001C6973" w:rsidRDefault="00844918" w:rsidP="001C69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В-четвертых,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типологии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строились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зависимости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некоторых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характеристик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массового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сознания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например,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информированности,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языкового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сознания.</w:t>
      </w:r>
    </w:p>
    <w:p w:rsidR="00844918" w:rsidRPr="001C6973" w:rsidRDefault="00844918" w:rsidP="001C69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Построение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подобных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типологий,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несомненно,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носило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позитивный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характер,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хотя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было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свободно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недостатков.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Дело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том,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что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типологический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анализ,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основанный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изучении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распределения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отдельных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признаков,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позволяет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достаточной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полнотой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выявить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специфические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группы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возникающие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результате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одновременного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влияния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коммуникативный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процесс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самых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различных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факторов,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числе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которых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различия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социальном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положении,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образовании,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образе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жизни,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спектре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общих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информационных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потребностей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интересов,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мотивов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обращения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телевидению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многие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другие.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тому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же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один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известных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признаков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взятый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обособленно,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может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рассматриваться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основной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ее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реальном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расслоении.</w:t>
      </w:r>
    </w:p>
    <w:p w:rsidR="00844918" w:rsidRPr="001C6973" w:rsidRDefault="00844918" w:rsidP="001C69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Наиболее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эффективным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методом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дифференциации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является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построение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эмпирических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типологий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применением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процедуры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многомерной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автоматической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классификации.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Алгоритм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этой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процедуры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хорошо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известен.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Отправной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пункт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—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тщательный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теоретический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анализ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объекта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исследования,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разработка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его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концептуальной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модели.</w:t>
      </w:r>
    </w:p>
    <w:p w:rsidR="00844918" w:rsidRPr="001C6973" w:rsidRDefault="00844918" w:rsidP="001C69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Следующий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шаг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—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выделение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блоков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качественно-количественных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характеристик,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основании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которых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строится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система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эмпирически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измеряемых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показателей,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наиболее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существенных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точки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зрения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задач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исследования.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Методика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отбора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показателей,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составляющих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основу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типологизации,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приобретает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наиболее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важное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значение,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так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практическая,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теоретическая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ценности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сконструированной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типологии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будут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зависеть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того,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насколько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тезаурус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показателей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отражает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сущность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изучаемого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объекта.</w:t>
      </w:r>
    </w:p>
    <w:p w:rsidR="00844918" w:rsidRPr="001C6973" w:rsidRDefault="00844918" w:rsidP="001C69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качестве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примера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построения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эмпирической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типологии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телеаудитории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сошлемся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опыт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эстонских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социологов.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Так,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исследовании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«Телевизионная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аудитория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Эстонской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ССР: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структура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интересов,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типология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и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особенности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коммуникативного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поведения»</w:t>
      </w:r>
      <w:r w:rsidR="00336A0B">
        <w:rPr>
          <w:i/>
          <w:sz w:val="28"/>
          <w:szCs w:val="28"/>
        </w:rPr>
        <w:t xml:space="preserve"> </w:t>
      </w:r>
      <w:r w:rsidRPr="001C6973">
        <w:rPr>
          <w:sz w:val="28"/>
          <w:szCs w:val="28"/>
        </w:rPr>
        <w:t>рассмотрены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три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взаимосвязанных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иерархических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подсистемы,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образующие,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мнению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авторов,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механизм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регуляции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зрительского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поведения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телеаудитории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(общие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тематические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интересы,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зрительские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интересы,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реальное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зрительское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поведение).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Кроме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того,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был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проведен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анализ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внутренних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связей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системах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диспозиций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поведения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зависимости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следующих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факторов: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общие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социальные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социально-демографические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признаки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фильтр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функциональных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потребностей,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ситуативный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фактор,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регулирующий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реализацию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зрительской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установки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реальном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поведении.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Это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позволило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выявить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соответствующие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зрителей</w:t>
      </w:r>
      <w:r w:rsidRPr="001C6973">
        <w:rPr>
          <w:rStyle w:val="a5"/>
          <w:sz w:val="28"/>
          <w:szCs w:val="28"/>
        </w:rPr>
        <w:footnoteReference w:id="17"/>
      </w:r>
      <w:r w:rsidRPr="001C6973">
        <w:rPr>
          <w:sz w:val="28"/>
          <w:szCs w:val="28"/>
        </w:rPr>
        <w:t>.</w:t>
      </w:r>
    </w:p>
    <w:p w:rsidR="00844918" w:rsidRPr="001C6973" w:rsidRDefault="00844918" w:rsidP="001C69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Перейдем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изложению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конкретного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опыта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разработки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эмпирической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типологии,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осуществленной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социологической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службой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Гостелерадио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рамках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исследования</w:t>
      </w:r>
      <w:r w:rsidR="00336A0B">
        <w:rPr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«Типология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телевизионной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аудитории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как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основа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программирования</w:t>
      </w:r>
      <w:r w:rsidR="00336A0B">
        <w:rPr>
          <w:i/>
          <w:sz w:val="28"/>
          <w:szCs w:val="28"/>
        </w:rPr>
        <w:t xml:space="preserve"> </w:t>
      </w:r>
      <w:r w:rsidRPr="001C6973">
        <w:rPr>
          <w:i/>
          <w:sz w:val="28"/>
          <w:szCs w:val="28"/>
        </w:rPr>
        <w:t>вещания»</w:t>
      </w:r>
      <w:r w:rsidRPr="001C6973">
        <w:rPr>
          <w:sz w:val="28"/>
          <w:szCs w:val="28"/>
        </w:rPr>
        <w:t>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Предлагаемая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типология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носит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прикладной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характер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ориентирована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решении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практических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задач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телевещания,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связанных,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прежде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всего,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определением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исходных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принципов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формирования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телевизионной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программы,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выявлением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приоритетных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тематических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направлений,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установлением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оптимальных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объемов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различных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видов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вещания,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повышением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функциональной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эффективности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передач.</w:t>
      </w:r>
    </w:p>
    <w:p w:rsidR="00844918" w:rsidRPr="001C6973" w:rsidRDefault="00844918" w:rsidP="001C69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основе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процедуры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типологизации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—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наиболее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существенные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точки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зрения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задач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содержательные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показатели,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характеризующие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своей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совокупности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общую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направленность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зрительских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интересов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поведения.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Для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обработки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анализа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эмпирических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данных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использовались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различные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процедуры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методы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статистической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обработки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социологической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информации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—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вычисление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общих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распределений,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построение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индексов,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корреляционный,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факторный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кластерный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анализы.</w:t>
      </w:r>
    </w:p>
    <w:p w:rsidR="00844918" w:rsidRPr="001C6973" w:rsidRDefault="00844918" w:rsidP="001C69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результате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проведенного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анализа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было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выявлено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пять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типологических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групп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зрителей,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обладающих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сходной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(в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отношении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каждой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группы)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структурой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телекоммуникативных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интересов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стереотипов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поведения.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определении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оптимального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числа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групп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соблюдалось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обязательное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условие,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согласно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которому,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структурные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различия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между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аудиторными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типами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должны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быть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более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значительными,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чем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внутри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них.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качестве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типообразующей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основы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выделена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система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показателей,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отличающихся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данном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случае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высокой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дифференцирующей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способностью.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ним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относятся: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тематические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предпочтения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интересы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видам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телевизионного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вещания,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функциональные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потребности,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реальное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поведение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зрителей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условиях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конкретной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программной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ситуации.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Кроме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перечисленных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основных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показателей,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анализе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описании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эмпирической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типологии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были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использованы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социально-демографические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характеристики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(пол,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возраст,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уровень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образования,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социо</w:t>
      </w:r>
      <w:r w:rsidR="001C6973">
        <w:rPr>
          <w:sz w:val="28"/>
          <w:szCs w:val="28"/>
        </w:rPr>
        <w:t>-</w:t>
      </w:r>
      <w:r w:rsidRPr="001C6973">
        <w:rPr>
          <w:sz w:val="28"/>
          <w:szCs w:val="28"/>
        </w:rPr>
        <w:t>профессиональная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принадлежность,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тип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поселения)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данные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структуре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досуговой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деятельности.</w:t>
      </w:r>
    </w:p>
    <w:p w:rsidR="00844918" w:rsidRDefault="00844918" w:rsidP="001C69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Таким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образом,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методология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аудитории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телевидения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постоянно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совершенствуется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отношении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средств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исследования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по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части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используемых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переменных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методик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анализа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данных.</w:t>
      </w:r>
    </w:p>
    <w:p w:rsidR="001C6973" w:rsidRPr="001C6973" w:rsidRDefault="001C6973" w:rsidP="001C69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44918" w:rsidRDefault="00844918" w:rsidP="001C6973">
      <w:pPr>
        <w:spacing w:line="360" w:lineRule="auto"/>
        <w:ind w:firstLine="709"/>
        <w:jc w:val="center"/>
        <w:rPr>
          <w:sz w:val="28"/>
          <w:szCs w:val="28"/>
        </w:rPr>
      </w:pPr>
      <w:r w:rsidRPr="001C6973">
        <w:rPr>
          <w:sz w:val="28"/>
          <w:szCs w:val="28"/>
        </w:rPr>
        <w:br w:type="page"/>
        <w:t>Литература</w:t>
      </w:r>
    </w:p>
    <w:p w:rsidR="001C6973" w:rsidRPr="001C6973" w:rsidRDefault="001C6973" w:rsidP="001C6973">
      <w:pPr>
        <w:spacing w:line="360" w:lineRule="auto"/>
        <w:ind w:firstLine="709"/>
        <w:jc w:val="both"/>
        <w:rPr>
          <w:sz w:val="28"/>
          <w:szCs w:val="28"/>
        </w:rPr>
      </w:pPr>
    </w:p>
    <w:p w:rsidR="00844918" w:rsidRPr="001C6973" w:rsidRDefault="00844918" w:rsidP="001C6973">
      <w:pPr>
        <w:spacing w:line="360" w:lineRule="auto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Ефремов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А.В.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Дыра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кармане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//Индустрия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рекламы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2003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№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1-2.</w:t>
      </w:r>
    </w:p>
    <w:p w:rsidR="00844918" w:rsidRPr="001C6973" w:rsidRDefault="00844918" w:rsidP="001C6973">
      <w:pPr>
        <w:spacing w:line="360" w:lineRule="auto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Ковалев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Два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"ящика"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одной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семье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//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Известия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медиа.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16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мая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2007г.</w:t>
      </w:r>
    </w:p>
    <w:p w:rsidR="00844918" w:rsidRPr="001C6973" w:rsidRDefault="00844918" w:rsidP="001C6973">
      <w:pPr>
        <w:spacing w:line="360" w:lineRule="auto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Шариков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А.В.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10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000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километров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эфира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//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Индустрия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рекламы,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2003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№23.</w:t>
      </w:r>
    </w:p>
    <w:p w:rsidR="00A11B02" w:rsidRPr="001C6973" w:rsidRDefault="00844918" w:rsidP="001C6973">
      <w:pPr>
        <w:spacing w:line="360" w:lineRule="auto"/>
        <w:jc w:val="both"/>
        <w:rPr>
          <w:sz w:val="28"/>
          <w:szCs w:val="28"/>
        </w:rPr>
      </w:pPr>
      <w:r w:rsidRPr="001C6973">
        <w:rPr>
          <w:sz w:val="28"/>
          <w:szCs w:val="28"/>
        </w:rPr>
        <w:t>Царьков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И.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Новости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в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предвыборной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гонке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//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Известия</w:t>
      </w:r>
      <w:r w:rsidR="00336A0B">
        <w:rPr>
          <w:sz w:val="28"/>
          <w:szCs w:val="28"/>
        </w:rPr>
        <w:t xml:space="preserve"> </w:t>
      </w:r>
      <w:r w:rsidRPr="001C6973">
        <w:rPr>
          <w:sz w:val="28"/>
          <w:szCs w:val="28"/>
        </w:rPr>
        <w:t>медиа</w:t>
      </w:r>
      <w:r w:rsidR="00336A0B">
        <w:rPr>
          <w:sz w:val="28"/>
          <w:szCs w:val="28"/>
        </w:rPr>
        <w:t xml:space="preserve"> </w:t>
      </w:r>
      <w:r w:rsidRPr="001C6973">
        <w:rPr>
          <w:bCs/>
          <w:sz w:val="28"/>
          <w:szCs w:val="28"/>
        </w:rPr>
        <w:t>15</w:t>
      </w:r>
      <w:r w:rsidR="00336A0B">
        <w:rPr>
          <w:bCs/>
          <w:sz w:val="28"/>
          <w:szCs w:val="28"/>
        </w:rPr>
        <w:t xml:space="preserve"> </w:t>
      </w:r>
      <w:r w:rsidRPr="001C6973">
        <w:rPr>
          <w:bCs/>
          <w:sz w:val="28"/>
          <w:szCs w:val="28"/>
        </w:rPr>
        <w:t>августа</w:t>
      </w:r>
      <w:r w:rsidR="00336A0B">
        <w:rPr>
          <w:bCs/>
          <w:sz w:val="28"/>
          <w:szCs w:val="28"/>
        </w:rPr>
        <w:t xml:space="preserve"> </w:t>
      </w:r>
      <w:r w:rsidRPr="001C6973">
        <w:rPr>
          <w:bCs/>
          <w:sz w:val="28"/>
          <w:szCs w:val="28"/>
        </w:rPr>
        <w:t>2007г.</w:t>
      </w:r>
      <w:bookmarkStart w:id="0" w:name="_GoBack"/>
      <w:bookmarkEnd w:id="0"/>
    </w:p>
    <w:sectPr w:rsidR="00A11B02" w:rsidRPr="001C6973" w:rsidSect="001C697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3A4" w:rsidRDefault="009243A4" w:rsidP="00844918">
      <w:r>
        <w:separator/>
      </w:r>
    </w:p>
  </w:endnote>
  <w:endnote w:type="continuationSeparator" w:id="0">
    <w:p w:rsidR="009243A4" w:rsidRDefault="009243A4" w:rsidP="0084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3A4" w:rsidRDefault="009243A4" w:rsidP="00844918">
      <w:r>
        <w:separator/>
      </w:r>
    </w:p>
  </w:footnote>
  <w:footnote w:type="continuationSeparator" w:id="0">
    <w:p w:rsidR="009243A4" w:rsidRDefault="009243A4" w:rsidP="00844918">
      <w:r>
        <w:continuationSeparator/>
      </w:r>
    </w:p>
  </w:footnote>
  <w:footnote w:id="1">
    <w:p w:rsidR="009243A4" w:rsidRDefault="00844918" w:rsidP="00844918">
      <w:pPr>
        <w:jc w:val="both"/>
      </w:pPr>
      <w:r w:rsidRPr="009D27C1">
        <w:rPr>
          <w:rStyle w:val="a5"/>
          <w:sz w:val="20"/>
          <w:szCs w:val="20"/>
        </w:rPr>
        <w:footnoteRef/>
      </w:r>
      <w:r w:rsidRPr="009D27C1">
        <w:rPr>
          <w:sz w:val="20"/>
          <w:szCs w:val="20"/>
          <w:lang w:val="en-US"/>
        </w:rPr>
        <w:t xml:space="preserve"> McQuail, D. (2000) McQuail's Mass Communication Theory, 4th edn. </w:t>
      </w:r>
      <w:smartTag w:uri="urn:schemas-microsoft-com:office:smarttags" w:element="City">
        <w:smartTag w:uri="urn:schemas-microsoft-com:office:smarttags" w:element="place">
          <w:r w:rsidRPr="009D27C1">
            <w:rPr>
              <w:sz w:val="20"/>
              <w:szCs w:val="20"/>
              <w:lang w:val="en-US"/>
            </w:rPr>
            <w:t>London</w:t>
          </w:r>
        </w:smartTag>
      </w:smartTag>
      <w:r>
        <w:rPr>
          <w:sz w:val="20"/>
          <w:szCs w:val="20"/>
          <w:lang w:val="en-US"/>
        </w:rPr>
        <w:t>: Sage, P</w:t>
      </w:r>
      <w:r w:rsidRPr="009D27C1">
        <w:rPr>
          <w:sz w:val="20"/>
          <w:szCs w:val="20"/>
          <w:lang w:val="en-US"/>
        </w:rPr>
        <w:t>. 387.</w:t>
      </w:r>
    </w:p>
  </w:footnote>
  <w:footnote w:id="2">
    <w:p w:rsidR="009243A4" w:rsidRDefault="00844918" w:rsidP="00844918">
      <w:pPr>
        <w:jc w:val="both"/>
      </w:pPr>
      <w:r w:rsidRPr="009D27C1">
        <w:rPr>
          <w:rStyle w:val="a5"/>
          <w:sz w:val="20"/>
          <w:szCs w:val="20"/>
        </w:rPr>
        <w:footnoteRef/>
      </w:r>
      <w:r w:rsidRPr="009D27C1">
        <w:rPr>
          <w:sz w:val="20"/>
          <w:szCs w:val="20"/>
          <w:lang w:val="en-US"/>
        </w:rPr>
        <w:t xml:space="preserve"> McQuail, D. (2000) McQuail's Mass Communication Theory, 4th edn. </w:t>
      </w:r>
      <w:smartTag w:uri="urn:schemas-microsoft-com:office:smarttags" w:element="City">
        <w:smartTag w:uri="urn:schemas-microsoft-com:office:smarttags" w:element="place">
          <w:r w:rsidRPr="009D27C1">
            <w:rPr>
              <w:sz w:val="20"/>
              <w:szCs w:val="20"/>
              <w:lang w:val="en-US"/>
            </w:rPr>
            <w:t>London</w:t>
          </w:r>
        </w:smartTag>
      </w:smartTag>
      <w:r>
        <w:rPr>
          <w:sz w:val="20"/>
          <w:szCs w:val="20"/>
          <w:lang w:val="en-US"/>
        </w:rPr>
        <w:t>: Sage,</w:t>
      </w:r>
      <w:r w:rsidRPr="0084491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P</w:t>
      </w:r>
      <w:r w:rsidRPr="009D27C1">
        <w:rPr>
          <w:sz w:val="20"/>
          <w:szCs w:val="20"/>
          <w:lang w:val="en-US"/>
        </w:rPr>
        <w:t>. 387-388.</w:t>
      </w:r>
    </w:p>
  </w:footnote>
  <w:footnote w:id="3">
    <w:p w:rsidR="009243A4" w:rsidRDefault="00844918" w:rsidP="00844918">
      <w:pPr>
        <w:jc w:val="both"/>
      </w:pPr>
      <w:r w:rsidRPr="009D27C1">
        <w:rPr>
          <w:rStyle w:val="a5"/>
          <w:sz w:val="20"/>
          <w:szCs w:val="20"/>
        </w:rPr>
        <w:footnoteRef/>
      </w:r>
      <w:r w:rsidRPr="009D27C1">
        <w:rPr>
          <w:sz w:val="20"/>
          <w:szCs w:val="20"/>
          <w:lang w:val="en-US"/>
        </w:rPr>
        <w:t xml:space="preserve"> McQuail, D„ Blumler, J. and Brown, J. (1972) «The television audience, a revised perspective», in D. McQuail (ed.) Sociology of Mass Communication, Harmondsworth: </w:t>
      </w:r>
      <w:r>
        <w:rPr>
          <w:sz w:val="20"/>
          <w:szCs w:val="20"/>
          <w:lang w:val="en-US"/>
        </w:rPr>
        <w:t>Penguin, P</w:t>
      </w:r>
      <w:r w:rsidRPr="009D27C1">
        <w:rPr>
          <w:sz w:val="20"/>
          <w:szCs w:val="20"/>
          <w:lang w:val="en-US"/>
        </w:rPr>
        <w:t>. 135—165.</w:t>
      </w:r>
    </w:p>
  </w:footnote>
  <w:footnote w:id="4">
    <w:p w:rsidR="009243A4" w:rsidRDefault="00844918" w:rsidP="00844918">
      <w:pPr>
        <w:jc w:val="both"/>
      </w:pPr>
      <w:r w:rsidRPr="009D27C1">
        <w:rPr>
          <w:rStyle w:val="a5"/>
          <w:sz w:val="20"/>
          <w:szCs w:val="20"/>
        </w:rPr>
        <w:footnoteRef/>
      </w:r>
      <w:r w:rsidRPr="009D27C1">
        <w:rPr>
          <w:sz w:val="20"/>
          <w:szCs w:val="20"/>
          <w:lang w:val="en-US"/>
        </w:rPr>
        <w:t xml:space="preserve"> Liebes, T. and Katz, E. (1986) «Patterns of involvement in television fiction: a comparative analysis», Europe</w:t>
      </w:r>
      <w:r>
        <w:rPr>
          <w:sz w:val="20"/>
          <w:szCs w:val="20"/>
          <w:lang w:val="en-US"/>
        </w:rPr>
        <w:t>an Journal of Communication 1, P</w:t>
      </w:r>
      <w:r w:rsidRPr="009D27C1">
        <w:rPr>
          <w:sz w:val="20"/>
          <w:szCs w:val="20"/>
          <w:lang w:val="en-US"/>
        </w:rPr>
        <w:t>. 151—171.</w:t>
      </w:r>
    </w:p>
  </w:footnote>
  <w:footnote w:id="5">
    <w:p w:rsidR="009243A4" w:rsidRDefault="00844918" w:rsidP="00844918">
      <w:pPr>
        <w:pStyle w:val="a3"/>
      </w:pPr>
      <w:r>
        <w:rPr>
          <w:rStyle w:val="a5"/>
        </w:rPr>
        <w:footnoteRef/>
      </w:r>
      <w:r w:rsidRPr="009D27C1">
        <w:rPr>
          <w:lang w:val="en-US"/>
        </w:rPr>
        <w:t xml:space="preserve"> Liebes, T. and Katz, E. (1986) «Patterns of involvement in television fiction: a comparative analysis», Europe</w:t>
      </w:r>
      <w:r>
        <w:rPr>
          <w:lang w:val="en-US"/>
        </w:rPr>
        <w:t>an Journal of Communication 1, P</w:t>
      </w:r>
      <w:r w:rsidRPr="009D27C1">
        <w:rPr>
          <w:lang w:val="en-US"/>
        </w:rPr>
        <w:t>.</w:t>
      </w:r>
      <w:r w:rsidRPr="00972DC8">
        <w:rPr>
          <w:lang w:val="en-US"/>
        </w:rPr>
        <w:t xml:space="preserve"> 166.</w:t>
      </w:r>
    </w:p>
  </w:footnote>
  <w:footnote w:id="6">
    <w:p w:rsidR="009243A4" w:rsidRDefault="00844918" w:rsidP="00844918">
      <w:pPr>
        <w:pStyle w:val="a3"/>
      </w:pPr>
      <w:r>
        <w:rPr>
          <w:rStyle w:val="a5"/>
        </w:rPr>
        <w:footnoteRef/>
      </w:r>
      <w:r w:rsidRPr="005F6927">
        <w:rPr>
          <w:lang w:val="en-US"/>
        </w:rPr>
        <w:t xml:space="preserve"> </w:t>
      </w:r>
      <w:r w:rsidRPr="00972DC8">
        <w:rPr>
          <w:lang w:val="en-US"/>
        </w:rPr>
        <w:t xml:space="preserve">Ang, I. (1985) Watching </w:t>
      </w:r>
      <w:smartTag w:uri="urn:schemas-microsoft-com:office:smarttags" w:element="City">
        <w:r w:rsidRPr="00972DC8">
          <w:rPr>
            <w:lang w:val="en-US"/>
          </w:rPr>
          <w:t>Dallas</w:t>
        </w:r>
      </w:smartTag>
      <w:r w:rsidRPr="00972DC8">
        <w:rPr>
          <w:lang w:val="en-US"/>
        </w:rPr>
        <w:t xml:space="preserve">, </w:t>
      </w:r>
      <w:smartTag w:uri="urn:schemas-microsoft-com:office:smarttags" w:element="City">
        <w:r w:rsidRPr="00972DC8">
          <w:rPr>
            <w:lang w:val="en-US"/>
          </w:rPr>
          <w:t>London</w:t>
        </w:r>
      </w:smartTag>
      <w:r w:rsidRPr="00972DC8">
        <w:rPr>
          <w:lang w:val="en-US"/>
        </w:rPr>
        <w:t xml:space="preserve">: </w:t>
      </w:r>
      <w:smartTag w:uri="urn:schemas-microsoft-com:office:smarttags" w:element="City">
        <w:smartTag w:uri="urn:schemas-microsoft-com:office:smarttags" w:element="place">
          <w:r w:rsidRPr="00972DC8">
            <w:rPr>
              <w:lang w:val="en-US"/>
            </w:rPr>
            <w:t>Methuen</w:t>
          </w:r>
        </w:smartTag>
      </w:smartTag>
      <w:r>
        <w:rPr>
          <w:lang w:val="en-US"/>
        </w:rPr>
        <w:t>, P</w:t>
      </w:r>
      <w:r w:rsidRPr="00972DC8">
        <w:rPr>
          <w:lang w:val="en-US"/>
        </w:rPr>
        <w:t>. 10.</w:t>
      </w:r>
    </w:p>
  </w:footnote>
  <w:footnote w:id="7">
    <w:p w:rsidR="009243A4" w:rsidRDefault="00844918" w:rsidP="00844918">
      <w:pPr>
        <w:pStyle w:val="a3"/>
      </w:pPr>
      <w:r>
        <w:rPr>
          <w:rStyle w:val="a5"/>
        </w:rPr>
        <w:footnoteRef/>
      </w:r>
      <w:r w:rsidRPr="005F6927">
        <w:rPr>
          <w:lang w:val="en-US"/>
        </w:rPr>
        <w:t xml:space="preserve"> </w:t>
      </w:r>
      <w:r w:rsidRPr="00972DC8">
        <w:rPr>
          <w:lang w:val="en-US"/>
        </w:rPr>
        <w:t>Modleski, T. (1982) Loving with a Vengeance. Mass-produced</w:t>
      </w:r>
      <w:r w:rsidRPr="005F6927">
        <w:rPr>
          <w:lang w:val="en-US"/>
        </w:rPr>
        <w:t xml:space="preserve"> </w:t>
      </w:r>
      <w:r w:rsidRPr="00972DC8">
        <w:rPr>
          <w:lang w:val="en-US"/>
        </w:rPr>
        <w:t xml:space="preserve">pleasures for women, NewYork: </w:t>
      </w:r>
      <w:smartTag w:uri="urn:schemas-microsoft-com:office:smarttags" w:element="place">
        <w:smartTag w:uri="urn:schemas-microsoft-com:office:smarttags" w:element="City">
          <w:r w:rsidRPr="00972DC8">
            <w:rPr>
              <w:lang w:val="en-US"/>
            </w:rPr>
            <w:t>Methuen</w:t>
          </w:r>
        </w:smartTag>
      </w:smartTag>
      <w:r w:rsidRPr="00972DC8">
        <w:rPr>
          <w:lang w:val="en-US"/>
        </w:rPr>
        <w:t>.</w:t>
      </w:r>
    </w:p>
  </w:footnote>
  <w:footnote w:id="8">
    <w:p w:rsidR="009243A4" w:rsidRDefault="00844918" w:rsidP="00844918">
      <w:pPr>
        <w:pStyle w:val="a3"/>
      </w:pPr>
      <w:r>
        <w:rPr>
          <w:rStyle w:val="a5"/>
        </w:rPr>
        <w:footnoteRef/>
      </w:r>
      <w:r w:rsidRPr="005F6927">
        <w:rPr>
          <w:lang w:val="en-US"/>
        </w:rPr>
        <w:t xml:space="preserve"> </w:t>
      </w:r>
      <w:r w:rsidRPr="00972DC8">
        <w:rPr>
          <w:lang w:val="en-US"/>
        </w:rPr>
        <w:t xml:space="preserve">Morley, D. (1980) The Nationwide Audience, </w:t>
      </w:r>
      <w:smartTag w:uri="urn:schemas-microsoft-com:office:smarttags" w:element="place">
        <w:smartTag w:uri="urn:schemas-microsoft-com:office:smarttags" w:element="City">
          <w:r w:rsidRPr="00972DC8">
            <w:rPr>
              <w:lang w:val="en-US"/>
            </w:rPr>
            <w:t>London</w:t>
          </w:r>
        </w:smartTag>
      </w:smartTag>
      <w:r w:rsidRPr="00972DC8">
        <w:rPr>
          <w:lang w:val="en-US"/>
        </w:rPr>
        <w:t>: BFI.</w:t>
      </w:r>
    </w:p>
  </w:footnote>
  <w:footnote w:id="9">
    <w:p w:rsidR="009243A4" w:rsidRDefault="00844918" w:rsidP="00844918">
      <w:pPr>
        <w:jc w:val="both"/>
      </w:pPr>
      <w:r w:rsidRPr="00BD5027">
        <w:rPr>
          <w:rStyle w:val="a5"/>
          <w:sz w:val="20"/>
          <w:szCs w:val="20"/>
        </w:rPr>
        <w:footnoteRef/>
      </w:r>
      <w:r w:rsidRPr="00BD5027">
        <w:rPr>
          <w:sz w:val="20"/>
          <w:szCs w:val="20"/>
          <w:lang w:val="en-US"/>
        </w:rPr>
        <w:t xml:space="preserve"> Morley, D. (1986) Family Television, Cultural power and domestic leisure, </w:t>
      </w:r>
      <w:smartTag w:uri="urn:schemas-microsoft-com:office:smarttags" w:element="place">
        <w:smartTag w:uri="urn:schemas-microsoft-com:office:smarttags" w:element="City">
          <w:r w:rsidRPr="00BD5027">
            <w:rPr>
              <w:sz w:val="20"/>
              <w:szCs w:val="20"/>
              <w:lang w:val="en-US"/>
            </w:rPr>
            <w:t>London</w:t>
          </w:r>
        </w:smartTag>
      </w:smartTag>
      <w:r w:rsidRPr="00BD5027">
        <w:rPr>
          <w:sz w:val="20"/>
          <w:szCs w:val="20"/>
          <w:lang w:val="en-US"/>
        </w:rPr>
        <w:t>: Comedia.</w:t>
      </w:r>
    </w:p>
  </w:footnote>
  <w:footnote w:id="10">
    <w:p w:rsidR="009243A4" w:rsidRDefault="00844918" w:rsidP="00844918">
      <w:pPr>
        <w:pStyle w:val="a3"/>
      </w:pPr>
      <w:r>
        <w:rPr>
          <w:rStyle w:val="a5"/>
        </w:rPr>
        <w:footnoteRef/>
      </w:r>
      <w:r>
        <w:t xml:space="preserve"> См.: Российская социология шестидесятых годов в воспоминаниях и документах. – СПб., 1999; Фирсов Б.М. История советской социологии 1950 – 1980-х годов: Курс лекций. – СПб., 2001.</w:t>
      </w:r>
    </w:p>
  </w:footnote>
  <w:footnote w:id="11">
    <w:p w:rsidR="009243A4" w:rsidRDefault="00844918" w:rsidP="00844918">
      <w:pPr>
        <w:pStyle w:val="a3"/>
      </w:pPr>
      <w:r>
        <w:rPr>
          <w:rStyle w:val="a5"/>
        </w:rPr>
        <w:footnoteRef/>
      </w:r>
      <w:r>
        <w:t xml:space="preserve"> См.: Кяэрику- Ι, Кяэрику- </w:t>
      </w:r>
      <w:r>
        <w:rPr>
          <w:lang w:val="en-US"/>
        </w:rPr>
        <w:t>II</w:t>
      </w:r>
      <w:r>
        <w:t xml:space="preserve">, Кяэрику- </w:t>
      </w:r>
      <w:r>
        <w:rPr>
          <w:lang w:val="en-US"/>
        </w:rPr>
        <w:t>III</w:t>
      </w:r>
      <w:r w:rsidR="001C6973">
        <w:t>.</w:t>
      </w:r>
      <w:r>
        <w:t xml:space="preserve"> – Тарту, 1967, 1968, 1969.</w:t>
      </w:r>
    </w:p>
  </w:footnote>
  <w:footnote w:id="12">
    <w:p w:rsidR="009243A4" w:rsidRDefault="00844918" w:rsidP="00844918">
      <w:pPr>
        <w:pStyle w:val="a3"/>
      </w:pPr>
      <w:r>
        <w:rPr>
          <w:rStyle w:val="a5"/>
        </w:rPr>
        <w:footnoteRef/>
      </w:r>
      <w:r>
        <w:t xml:space="preserve"> «Массовая информация в советском промышленном городе» под общ. ред. Б.А. Грушина и Л.А. Оникова, 1980г.</w:t>
      </w:r>
    </w:p>
  </w:footnote>
  <w:footnote w:id="13">
    <w:p w:rsidR="009243A4" w:rsidRDefault="00844918" w:rsidP="00844918">
      <w:pPr>
        <w:pStyle w:val="a3"/>
      </w:pPr>
      <w:r>
        <w:rPr>
          <w:rStyle w:val="a5"/>
        </w:rPr>
        <w:footnoteRef/>
      </w:r>
      <w:r>
        <w:t xml:space="preserve"> «Социология журналистики» под ред. Е.П. Прохорова, 1980г.</w:t>
      </w:r>
    </w:p>
  </w:footnote>
  <w:footnote w:id="14">
    <w:p w:rsidR="009243A4" w:rsidRDefault="00844918" w:rsidP="00844918">
      <w:pPr>
        <w:pStyle w:val="a3"/>
      </w:pPr>
      <w:r>
        <w:rPr>
          <w:rStyle w:val="a5"/>
        </w:rPr>
        <w:footnoteRef/>
      </w:r>
      <w:r>
        <w:t xml:space="preserve"> Подробнее об истории </w:t>
      </w:r>
      <w:r>
        <w:rPr>
          <w:spacing w:val="-4"/>
          <w:w w:val="103"/>
          <w:szCs w:val="22"/>
        </w:rPr>
        <w:t>измерений телевизион</w:t>
      </w:r>
      <w:r>
        <w:rPr>
          <w:w w:val="103"/>
          <w:szCs w:val="22"/>
        </w:rPr>
        <w:t>ной аудитории в России см.: Коломиец В.П. Телерекламный бизнес, … С.50-56.</w:t>
      </w:r>
    </w:p>
  </w:footnote>
  <w:footnote w:id="15">
    <w:p w:rsidR="009243A4" w:rsidRDefault="00844918" w:rsidP="00844918">
      <w:pPr>
        <w:pStyle w:val="a3"/>
      </w:pPr>
      <w:r>
        <w:rPr>
          <w:rStyle w:val="a5"/>
        </w:rPr>
        <w:footnoteRef/>
      </w:r>
      <w:r>
        <w:t xml:space="preserve"> Подробнее о фирмах, предлагающих услуги в области изучения телевизионных аудиторий см.: Медиаизмерения….</w:t>
      </w:r>
    </w:p>
  </w:footnote>
  <w:footnote w:id="16">
    <w:p w:rsidR="009243A4" w:rsidRDefault="00844918" w:rsidP="00844918">
      <w:pPr>
        <w:autoSpaceDE w:val="0"/>
        <w:autoSpaceDN w:val="0"/>
        <w:adjustRightInd w:val="0"/>
        <w:jc w:val="both"/>
      </w:pPr>
      <w:r w:rsidRPr="006A4D92">
        <w:rPr>
          <w:rStyle w:val="a5"/>
          <w:sz w:val="20"/>
          <w:szCs w:val="20"/>
        </w:rPr>
        <w:footnoteRef/>
      </w:r>
      <w:r w:rsidRPr="006A4D92">
        <w:rPr>
          <w:sz w:val="20"/>
          <w:szCs w:val="20"/>
        </w:rPr>
        <w:t xml:space="preserve"> </w:t>
      </w:r>
      <w:r w:rsidRPr="006A4D92">
        <w:rPr>
          <w:iCs/>
          <w:sz w:val="20"/>
          <w:szCs w:val="20"/>
        </w:rPr>
        <w:t xml:space="preserve">Багиров Э.Г. </w:t>
      </w:r>
      <w:r w:rsidRPr="006A4D92">
        <w:rPr>
          <w:sz w:val="20"/>
          <w:szCs w:val="20"/>
        </w:rPr>
        <w:t xml:space="preserve">Очерки теории телевидения. М.: Искусство, 1978; Массовая информация в советском промышленном roроде: Опыт комплексного социологического исследования. М.: Политиздат, 1980; Массовая коммуникация в условиях научно-технической революции. Л.: Наука, ленингр. отд-ние, 1981; </w:t>
      </w:r>
      <w:r w:rsidRPr="006A4D92">
        <w:rPr>
          <w:iCs/>
          <w:sz w:val="20"/>
          <w:szCs w:val="20"/>
        </w:rPr>
        <w:t xml:space="preserve">Дридзе Т.М. </w:t>
      </w:r>
      <w:r w:rsidRPr="006A4D92">
        <w:rPr>
          <w:sz w:val="20"/>
          <w:szCs w:val="20"/>
        </w:rPr>
        <w:t>Язык и социальная психология. М.: Высш.шк., 1982.</w:t>
      </w:r>
    </w:p>
  </w:footnote>
  <w:footnote w:id="17">
    <w:p w:rsidR="009243A4" w:rsidRDefault="00844918" w:rsidP="00844918">
      <w:pPr>
        <w:autoSpaceDE w:val="0"/>
        <w:autoSpaceDN w:val="0"/>
        <w:adjustRightInd w:val="0"/>
      </w:pPr>
      <w:r w:rsidRPr="006A4D92">
        <w:rPr>
          <w:rStyle w:val="a5"/>
          <w:sz w:val="20"/>
          <w:szCs w:val="20"/>
        </w:rPr>
        <w:footnoteRef/>
      </w:r>
      <w:r w:rsidRPr="006A4D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См.: </w:t>
      </w:r>
      <w:r w:rsidRPr="006A4D92">
        <w:rPr>
          <w:sz w:val="20"/>
          <w:szCs w:val="20"/>
        </w:rPr>
        <w:t xml:space="preserve">Современные методы исследования средств массовой коммуникации: Материалы межреспубликанской научной конференции. Таллинн, 29—30 сентября </w:t>
      </w:r>
      <w:smartTag w:uri="urn:schemas-microsoft-com:office:smarttags" w:element="metricconverter">
        <w:smartTagPr>
          <w:attr w:name="ProductID" w:val="1980 г"/>
        </w:smartTagPr>
        <w:r w:rsidRPr="006A4D92">
          <w:rPr>
            <w:sz w:val="20"/>
            <w:szCs w:val="20"/>
          </w:rPr>
          <w:t>1980 г</w:t>
        </w:r>
      </w:smartTag>
      <w:r w:rsidRPr="006A4D92">
        <w:rPr>
          <w:sz w:val="20"/>
          <w:szCs w:val="20"/>
        </w:rPr>
        <w:t>. Таллинн, 1983.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918"/>
    <w:rsid w:val="001C6973"/>
    <w:rsid w:val="00336A0B"/>
    <w:rsid w:val="005F6927"/>
    <w:rsid w:val="006A4D92"/>
    <w:rsid w:val="00721C18"/>
    <w:rsid w:val="00833648"/>
    <w:rsid w:val="00844918"/>
    <w:rsid w:val="009243A4"/>
    <w:rsid w:val="00972DC8"/>
    <w:rsid w:val="009D27C1"/>
    <w:rsid w:val="00A11B02"/>
    <w:rsid w:val="00BD5027"/>
    <w:rsid w:val="00BE63CC"/>
    <w:rsid w:val="00DC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EF0B81-73BF-4733-9C19-10CD3C7E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91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44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 w:cs="Tahoma"/>
      <w:sz w:val="17"/>
      <w:szCs w:val="17"/>
    </w:rPr>
  </w:style>
  <w:style w:type="character" w:customStyle="1" w:styleId="HTML0">
    <w:name w:val="Стандартный HTML Знак"/>
    <w:link w:val="HTML"/>
    <w:uiPriority w:val="99"/>
    <w:locked/>
    <w:rsid w:val="00844918"/>
    <w:rPr>
      <w:rFonts w:ascii="Tahoma" w:hAnsi="Tahoma" w:cs="Tahoma"/>
      <w:sz w:val="17"/>
      <w:szCs w:val="17"/>
      <w:lang w:val="x-none" w:eastAsia="ru-RU"/>
    </w:rPr>
  </w:style>
  <w:style w:type="paragraph" w:styleId="a3">
    <w:name w:val="footnote text"/>
    <w:basedOn w:val="a"/>
    <w:link w:val="a4"/>
    <w:uiPriority w:val="99"/>
    <w:semiHidden/>
    <w:rsid w:val="00844918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84491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semiHidden/>
    <w:rsid w:val="008449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2014-03-08T05:34:00Z</dcterms:created>
  <dcterms:modified xsi:type="dcterms:W3CDTF">2014-03-08T05:34:00Z</dcterms:modified>
</cp:coreProperties>
</file>