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53" w:rsidRDefault="00703C22" w:rsidP="00F653D7">
      <w:pPr>
        <w:pStyle w:val="aff1"/>
      </w:pPr>
      <w:r w:rsidRPr="000E7B53">
        <w:t>Профессиональный Институт Управления</w:t>
      </w:r>
    </w:p>
    <w:p w:rsidR="00703C22" w:rsidRPr="000E7B53" w:rsidRDefault="00703C22" w:rsidP="00F653D7">
      <w:pPr>
        <w:pStyle w:val="aff1"/>
      </w:pPr>
    </w:p>
    <w:tbl>
      <w:tblPr>
        <w:tblW w:w="0" w:type="auto"/>
        <w:tblInd w:w="38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760"/>
      </w:tblGrid>
      <w:tr w:rsidR="00703C22" w:rsidRPr="000E7B53" w:rsidTr="000E421F">
        <w:tc>
          <w:tcPr>
            <w:tcW w:w="420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Факультет</w:t>
            </w:r>
            <w:r w:rsidR="000E7B53" w:rsidRPr="000E7B53">
              <w:t xml:space="preserve">: </w:t>
            </w:r>
          </w:p>
        </w:tc>
        <w:tc>
          <w:tcPr>
            <w:tcW w:w="476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Бухгалтерский учет, Анализ и Аудит</w:t>
            </w:r>
          </w:p>
        </w:tc>
      </w:tr>
      <w:tr w:rsidR="00703C22" w:rsidRPr="000E7B53" w:rsidTr="000E421F">
        <w:tc>
          <w:tcPr>
            <w:tcW w:w="4200" w:type="dxa"/>
            <w:tcBorders>
              <w:bottom w:val="nil"/>
            </w:tcBorders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Специальность</w:t>
            </w:r>
            <w:r w:rsidR="000E7B53" w:rsidRPr="000E7B53">
              <w:t xml:space="preserve">: </w:t>
            </w:r>
          </w:p>
        </w:tc>
        <w:tc>
          <w:tcPr>
            <w:tcW w:w="4760" w:type="dxa"/>
            <w:tcBorders>
              <w:bottom w:val="nil"/>
            </w:tcBorders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Экономист</w:t>
            </w:r>
          </w:p>
        </w:tc>
      </w:tr>
      <w:tr w:rsidR="00703C22" w:rsidRPr="000E7B53" w:rsidTr="000E421F">
        <w:tc>
          <w:tcPr>
            <w:tcW w:w="4200" w:type="dxa"/>
            <w:tcBorders>
              <w:bottom w:val="nil"/>
            </w:tcBorders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Курс</w:t>
            </w:r>
            <w:r w:rsidR="000E7B53" w:rsidRPr="000E7B53">
              <w:t xml:space="preserve">: </w:t>
            </w:r>
          </w:p>
        </w:tc>
        <w:tc>
          <w:tcPr>
            <w:tcW w:w="4760" w:type="dxa"/>
            <w:tcBorders>
              <w:bottom w:val="single" w:sz="4" w:space="0" w:color="auto"/>
            </w:tcBorders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</w:p>
        </w:tc>
      </w:tr>
    </w:tbl>
    <w:p w:rsidR="000E7B53" w:rsidRDefault="000E7B53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0E7B53" w:rsidRPr="000E7B53" w:rsidRDefault="00703C22" w:rsidP="00F653D7">
      <w:pPr>
        <w:pStyle w:val="aff1"/>
      </w:pPr>
      <w:r w:rsidRPr="000E7B53">
        <w:t>РЕФЕРАТ</w:t>
      </w:r>
    </w:p>
    <w:p w:rsidR="000E7B53" w:rsidRPr="000E7B53" w:rsidRDefault="00703C22" w:rsidP="00F653D7">
      <w:pPr>
        <w:pStyle w:val="aff1"/>
      </w:pPr>
      <w:r w:rsidRPr="000E7B53">
        <w:t xml:space="preserve">По дисциплине </w:t>
      </w:r>
      <w:r w:rsidR="000E7B53" w:rsidRPr="000E7B53">
        <w:t>"</w:t>
      </w:r>
      <w:r w:rsidR="00C14391" w:rsidRPr="000E7B53">
        <w:t>Анализ и аудит в страховых организациях</w:t>
      </w:r>
      <w:r w:rsidR="000E7B53" w:rsidRPr="000E7B53">
        <w:t>"</w:t>
      </w:r>
    </w:p>
    <w:p w:rsidR="000E7B53" w:rsidRPr="000E7B53" w:rsidRDefault="00703C22" w:rsidP="00F653D7">
      <w:pPr>
        <w:pStyle w:val="aff1"/>
      </w:pPr>
      <w:r w:rsidRPr="000E7B53">
        <w:t>На тему</w:t>
      </w:r>
      <w:r w:rsidR="000E7B53" w:rsidRPr="000E7B53">
        <w:t xml:space="preserve">: </w:t>
      </w:r>
    </w:p>
    <w:p w:rsidR="000E7B53" w:rsidRDefault="00C14391" w:rsidP="00F653D7">
      <w:pPr>
        <w:pStyle w:val="aff1"/>
      </w:pPr>
      <w:r w:rsidRPr="000E7B53">
        <w:t>Методы комплексного анализа прибыли страховой организации</w:t>
      </w:r>
    </w:p>
    <w:p w:rsidR="000E7B53" w:rsidRDefault="000E7B53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703C22" w:rsidRPr="000E7B53" w:rsidRDefault="00703C22" w:rsidP="00F653D7">
      <w:pPr>
        <w:pStyle w:val="aff1"/>
      </w:pPr>
    </w:p>
    <w:tbl>
      <w:tblPr>
        <w:tblW w:w="0" w:type="auto"/>
        <w:tblInd w:w="388" w:type="dxa"/>
        <w:tblLook w:val="01E0" w:firstRow="1" w:lastRow="1" w:firstColumn="1" w:lastColumn="1" w:noHBand="0" w:noVBand="0"/>
      </w:tblPr>
      <w:tblGrid>
        <w:gridCol w:w="5480"/>
        <w:gridCol w:w="3200"/>
      </w:tblGrid>
      <w:tr w:rsidR="00703C22" w:rsidRPr="000E7B53" w:rsidTr="000E421F">
        <w:tc>
          <w:tcPr>
            <w:tcW w:w="548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Студентка</w:t>
            </w:r>
            <w:r w:rsidR="000E7B53" w:rsidRPr="000E7B53">
              <w:t xml:space="preserve">: </w:t>
            </w:r>
          </w:p>
        </w:tc>
        <w:tc>
          <w:tcPr>
            <w:tcW w:w="320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Шуйчикова</w:t>
            </w:r>
            <w:r w:rsidR="000E7B53" w:rsidRPr="000E7B53">
              <w:t xml:space="preserve"> </w:t>
            </w:r>
            <w:r w:rsidRPr="000E7B53">
              <w:t>Инга</w:t>
            </w:r>
            <w:r w:rsidR="000E7B53" w:rsidRPr="000E7B53">
              <w:t xml:space="preserve"> </w:t>
            </w:r>
            <w:r w:rsidRPr="000E7B53">
              <w:t>Вячеславовна</w:t>
            </w:r>
          </w:p>
        </w:tc>
      </w:tr>
      <w:tr w:rsidR="00703C22" w:rsidRPr="000E7B53" w:rsidTr="000E421F">
        <w:tc>
          <w:tcPr>
            <w:tcW w:w="548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Группа</w:t>
            </w:r>
            <w:r w:rsidR="000E7B53" w:rsidRPr="000E7B53">
              <w:t xml:space="preserve">: </w:t>
            </w:r>
          </w:p>
        </w:tc>
        <w:tc>
          <w:tcPr>
            <w:tcW w:w="320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УБШБ-51</w:t>
            </w:r>
            <w:r w:rsidR="000E7B53" w:rsidRPr="000E7B53">
              <w:t xml:space="preserve"> / </w:t>
            </w:r>
            <w:r w:rsidRPr="000E7B53">
              <w:t>4-С-1</w:t>
            </w:r>
          </w:p>
        </w:tc>
      </w:tr>
      <w:tr w:rsidR="00703C22" w:rsidRPr="000E7B53" w:rsidTr="000E421F">
        <w:tc>
          <w:tcPr>
            <w:tcW w:w="5480" w:type="dxa"/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  <w:r w:rsidRPr="000E7B53">
              <w:t>Научный руководитель</w:t>
            </w:r>
            <w:r w:rsidR="000E7B53" w:rsidRPr="000E7B53">
              <w:t xml:space="preserve">: 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:rsidR="00703C22" w:rsidRPr="000E7B53" w:rsidRDefault="00703C22" w:rsidP="000E421F">
            <w:pPr>
              <w:pStyle w:val="aff1"/>
              <w:jc w:val="left"/>
            </w:pPr>
          </w:p>
        </w:tc>
      </w:tr>
    </w:tbl>
    <w:p w:rsidR="000E7B53" w:rsidRDefault="000E7B53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F653D7" w:rsidRDefault="00F653D7" w:rsidP="00F653D7">
      <w:pPr>
        <w:pStyle w:val="aff1"/>
      </w:pPr>
    </w:p>
    <w:p w:rsidR="00703C22" w:rsidRPr="000E7B53" w:rsidRDefault="00703C22" w:rsidP="00F653D7">
      <w:pPr>
        <w:pStyle w:val="aff1"/>
      </w:pPr>
      <w:r w:rsidRPr="000E7B53">
        <w:t>Москва</w:t>
      </w:r>
      <w:r w:rsidR="00F653D7">
        <w:t xml:space="preserve"> </w:t>
      </w:r>
      <w:r w:rsidRPr="000E7B53">
        <w:t>2009</w:t>
      </w:r>
    </w:p>
    <w:p w:rsidR="006E73EF" w:rsidRPr="000E7B53" w:rsidRDefault="006E73EF" w:rsidP="00F653D7">
      <w:pPr>
        <w:pStyle w:val="afa"/>
      </w:pPr>
      <w:r w:rsidRPr="000E7B53">
        <w:br w:type="page"/>
      </w:r>
      <w:bookmarkStart w:id="0" w:name="_Toc227757657"/>
      <w:bookmarkStart w:id="1" w:name="_Toc227757886"/>
      <w:bookmarkStart w:id="2" w:name="_Toc227759382"/>
      <w:r w:rsidR="003A3884" w:rsidRPr="000E7B53">
        <w:t>Содержание</w:t>
      </w:r>
      <w:bookmarkEnd w:id="0"/>
      <w:bookmarkEnd w:id="1"/>
      <w:bookmarkEnd w:id="2"/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1. Сущность страхования</w:t>
      </w:r>
      <w:r>
        <w:rPr>
          <w:noProof/>
          <w:webHidden/>
        </w:rPr>
        <w:tab/>
        <w:t>4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2. Особенности методов учета и отчетности в страховании.</w:t>
      </w:r>
      <w:r>
        <w:rPr>
          <w:noProof/>
          <w:webHidden/>
        </w:rPr>
        <w:tab/>
        <w:t>5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3. Факторы и факторные показатели в анализе и аудите страховой организации</w:t>
      </w:r>
      <w:r>
        <w:rPr>
          <w:noProof/>
          <w:webHidden/>
        </w:rPr>
        <w:tab/>
        <w:t>6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4. Дуоцентрическая система показателей финансовых результатов при анализе прибыли страховых организаций</w:t>
      </w:r>
      <w:r>
        <w:rPr>
          <w:noProof/>
          <w:webHidden/>
        </w:rPr>
        <w:tab/>
        <w:t>8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5. Коды аналитического учета финансовых результатов</w:t>
      </w:r>
      <w:r>
        <w:rPr>
          <w:noProof/>
          <w:webHidden/>
        </w:rPr>
        <w:tab/>
        <w:t>15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6. Проблемные аспекты в методиках анализа и аудита страховых организаций</w:t>
      </w:r>
      <w:r>
        <w:rPr>
          <w:noProof/>
          <w:webHidden/>
        </w:rPr>
        <w:tab/>
        <w:t>17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Заключение</w:t>
      </w:r>
      <w:r>
        <w:rPr>
          <w:noProof/>
          <w:webHidden/>
        </w:rPr>
        <w:tab/>
        <w:t>19</w:t>
      </w:r>
    </w:p>
    <w:p w:rsidR="00F653D7" w:rsidRDefault="00F653D7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B4113">
        <w:rPr>
          <w:rStyle w:val="a8"/>
          <w:noProof/>
        </w:rPr>
        <w:t>Список источников</w:t>
      </w:r>
      <w:r>
        <w:rPr>
          <w:noProof/>
          <w:webHidden/>
        </w:rPr>
        <w:tab/>
        <w:t>20</w:t>
      </w:r>
    </w:p>
    <w:p w:rsidR="000E7B53" w:rsidRDefault="000E7B53" w:rsidP="00F653D7">
      <w:pPr>
        <w:widowControl w:val="0"/>
        <w:autoSpaceDE w:val="0"/>
        <w:autoSpaceDN w:val="0"/>
        <w:adjustRightInd w:val="0"/>
        <w:ind w:firstLine="0"/>
      </w:pPr>
    </w:p>
    <w:p w:rsidR="00521A59" w:rsidRPr="000E7B53" w:rsidRDefault="006E73EF" w:rsidP="00F653D7">
      <w:pPr>
        <w:pStyle w:val="2"/>
      </w:pPr>
      <w:r w:rsidRPr="000E7B53">
        <w:br w:type="page"/>
      </w:r>
      <w:bookmarkStart w:id="3" w:name="_Toc229244991"/>
      <w:r w:rsidR="00521A59" w:rsidRPr="000E7B53">
        <w:t>В</w:t>
      </w:r>
      <w:r w:rsidR="00DA6323" w:rsidRPr="000E7B53">
        <w:t>в</w:t>
      </w:r>
      <w:r w:rsidR="00521A59" w:rsidRPr="000E7B53">
        <w:t>едение</w:t>
      </w:r>
      <w:bookmarkEnd w:id="3"/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DA6323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данно</w:t>
      </w:r>
      <w:r w:rsidR="00DA6323" w:rsidRPr="000E7B53">
        <w:t>й работе дано краткое описание разработки методов комплексного анализа прибыли страховой организации, представленной в диссертации на соискание научной степени кандидата экономических наук Соловьевой О</w:t>
      </w:r>
      <w:r w:rsidR="000E7B53">
        <w:t xml:space="preserve">.В. </w:t>
      </w:r>
      <w:r w:rsidR="00DA6323" w:rsidRPr="000E7B53">
        <w:t>Представлены как методики составления аналитических отчетов, так и краткая характеристика сущности страхования</w:t>
      </w:r>
      <w:r w:rsidR="000E7B53" w:rsidRPr="000E7B53">
        <w:t xml:space="preserve">. </w:t>
      </w:r>
      <w:r w:rsidR="00DA6323" w:rsidRPr="000E7B53">
        <w:t>В заключении отображено мое личное отношение к общим проблемам аудита, его объективности и целесообразности</w:t>
      </w:r>
      <w:r w:rsidR="000E7B53" w:rsidRPr="000E7B53">
        <w:t xml:space="preserve">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6E73EF" w:rsidRDefault="00F653D7" w:rsidP="00F653D7">
      <w:pPr>
        <w:pStyle w:val="2"/>
      </w:pPr>
      <w:r>
        <w:br w:type="page"/>
      </w:r>
      <w:bookmarkStart w:id="4" w:name="_Toc229244992"/>
      <w:r w:rsidR="005E6C27" w:rsidRPr="000E7B53">
        <w:t>1</w:t>
      </w:r>
      <w:r w:rsidR="000E7B53" w:rsidRPr="000E7B53">
        <w:t xml:space="preserve">. </w:t>
      </w:r>
      <w:r w:rsidR="005E6C27" w:rsidRPr="000E7B53">
        <w:t>Сущность страхования</w:t>
      </w:r>
      <w:bookmarkEnd w:id="4"/>
    </w:p>
    <w:p w:rsidR="00F653D7" w:rsidRPr="00F653D7" w:rsidRDefault="00F653D7" w:rsidP="00F653D7"/>
    <w:p w:rsidR="00521A5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При написании работы был прочитан ряд учебников, пособий и научных работ, в основной массе опубликованных в сети Интернет</w:t>
      </w:r>
      <w:r w:rsidR="000E7B53" w:rsidRPr="000E7B53">
        <w:t xml:space="preserve">. </w:t>
      </w:r>
    </w:p>
    <w:p w:rsidR="00AC5C86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ряде случаев встречается следующее определение сущности страхования как таковой</w:t>
      </w:r>
      <w:r w:rsidR="000E7B53" w:rsidRPr="000E7B53">
        <w:t xml:space="preserve">: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страхование относится не к сфере материального производства, а является разновидностью финансовых услуг, не производящих добавленной стоимости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для страховой деятельности характерны специфические участники и терминология (страховщик, страхователь, застрахованный, выгодоприобретатель, страховое возмещение, страховой тариф и </w:t>
      </w:r>
      <w:r w:rsidR="000E7B53">
        <w:t>др.)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объект страховой сделки не имеет физической формы воплощения, так как страховая услуга удовлетворяет потребность по защите имущественных интересов страхователя от последствий случайных событий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материальная и нематериальная формы существования страховой услуги обеспечивают растянутость потребления её полезных свойств во времени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для страхования характерна так называемая </w:t>
      </w:r>
      <w:r w:rsidR="000E7B53" w:rsidRPr="000E7B53">
        <w:t>"</w:t>
      </w:r>
      <w:r w:rsidRPr="000E7B53">
        <w:t>инверсия</w:t>
      </w:r>
      <w:r w:rsidR="000E7B53" w:rsidRPr="000E7B53">
        <w:t>"</w:t>
      </w:r>
      <w:r w:rsidRPr="000E7B53">
        <w:t xml:space="preserve"> цикла, то есть нарушение нормального порядка обмена, вызванное неопределённым временным разрывом между оплатой услуги и фактическим полным её оказанием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между участниками страховой сделки существует продолжительная связь (в пределах сроков действия договора страхования</w:t>
      </w:r>
      <w:r w:rsidR="000E7B53" w:rsidRPr="000E7B53">
        <w:t xml:space="preserve">);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фактическая реализация страховой защиты в виде страхового возмещения находится в вероятностной зависимости от покрываемого риска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страховщики используют специфические источники производства страховой услуги</w:t>
      </w:r>
      <w:r w:rsidR="000E7B53" w:rsidRPr="000E7B53">
        <w:t xml:space="preserve"> - </w:t>
      </w:r>
      <w:r w:rsidRPr="000E7B53">
        <w:t>страховые резервы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качестве основного источника формирования страховых резервов используется денежный капитал страхователя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вовлечение средств резервов в инвестиционную деятельность регламентировано на условиях диверсификации, возвратности, ликвидности и прибыльности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страховой деятельности характерен сложный денежный оборот, включающий два взаимосвязанных денежных потока</w:t>
      </w:r>
      <w:r w:rsidR="000E7B53" w:rsidRPr="000E7B53">
        <w:t xml:space="preserve">: </w:t>
      </w:r>
      <w:r w:rsidRPr="000E7B53">
        <w:t>оборот средств, обеспечивающий защиту страхователей, и оборот средств, предназначенных для функционирования страховых организаций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цены на страховые услуги (страховой</w:t>
      </w:r>
      <w:r w:rsidR="000E7B53" w:rsidRPr="000E7B53">
        <w:t xml:space="preserve"> </w:t>
      </w:r>
      <w:r w:rsidRPr="000E7B53">
        <w:t>тариф</w:t>
      </w:r>
      <w:r w:rsidR="000E7B53" w:rsidRPr="000E7B53">
        <w:t xml:space="preserve">) </w:t>
      </w:r>
      <w:r w:rsidRPr="000E7B53">
        <w:t>определяются особым образом (исходя из величины страховых резервов, расходов на ведение дела, на проведение предупредительных мероприятий, а также</w:t>
      </w:r>
      <w:r w:rsidR="000E7B53" w:rsidRPr="000E7B53">
        <w:t xml:space="preserve"> </w:t>
      </w:r>
      <w:r w:rsidRPr="000E7B53">
        <w:t>тарифной прибыли</w:t>
      </w:r>
      <w:r w:rsidR="000E7B53" w:rsidRPr="000E7B53">
        <w:t xml:space="preserve">);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страховании существуют специфические способы нивелирования принятых рисков (сострахование, перестрахование</w:t>
      </w:r>
      <w:r w:rsidR="000E7B53" w:rsidRPr="000E7B53">
        <w:t xml:space="preserve">);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объекты страховых сделок чрезвычайно многообразны и носят индивидуальный характер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специализация страховых организаций регулируется</w:t>
      </w:r>
      <w:r w:rsidR="000E7B53" w:rsidRPr="000E7B53">
        <w:t xml:space="preserve"> </w:t>
      </w:r>
      <w:r w:rsidRPr="000E7B53">
        <w:t>государством и регламентируется</w:t>
      </w:r>
      <w:r w:rsidR="000E7B53" w:rsidRPr="000E7B53">
        <w:t xml:space="preserve"> </w:t>
      </w:r>
      <w:r w:rsidRPr="000E7B53">
        <w:t>законодательством</w:t>
      </w:r>
      <w:r w:rsidR="000E7B53" w:rsidRPr="000E7B53">
        <w:t xml:space="preserve">;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деятельность страховщиков характеризуют специфические показатели</w:t>
      </w:r>
      <w:r w:rsidR="000E7B53" w:rsidRPr="000E7B53">
        <w:t xml:space="preserve">.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Эти особенности оказывают существенное влияние на все процессы хозяйственной деятельности страховых организаций, вплоть до формирования конечных финансовых результатов, поэтому их необходимо учитывать при использовании методов комплексного анализа финансовых результатов</w:t>
      </w:r>
      <w:r w:rsidR="000E7B53" w:rsidRPr="000E7B53">
        <w:t xml:space="preserve">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4705E9" w:rsidRPr="000E7B53" w:rsidRDefault="005E6C27" w:rsidP="00F653D7">
      <w:pPr>
        <w:pStyle w:val="2"/>
      </w:pPr>
      <w:bookmarkStart w:id="5" w:name="_Toc229244993"/>
      <w:r w:rsidRPr="000E7B53">
        <w:t>2</w:t>
      </w:r>
      <w:r w:rsidR="000E7B53" w:rsidRPr="000E7B53">
        <w:t xml:space="preserve">. </w:t>
      </w:r>
      <w:r w:rsidRPr="000E7B53">
        <w:t>Особенности методов учета и отчетности в страховании</w:t>
      </w:r>
      <w:r w:rsidR="000E7B53" w:rsidRPr="000E7B53">
        <w:t>.</w:t>
      </w:r>
      <w:bookmarkEnd w:id="5"/>
      <w:r w:rsidR="000E7B53" w:rsidRPr="000E7B53">
        <w:t xml:space="preserve">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r w:rsidRPr="000E7B53">
        <w:t>Специфическими чертами методов учета в страховых организациях можно определить следующие</w:t>
      </w:r>
      <w:r w:rsidR="000E7B53" w:rsidRPr="000E7B53">
        <w:t xml:space="preserve">: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>наличие специализированных счетов и субсчетов для учёта основной деятельности</w:t>
      </w:r>
      <w:r w:rsidR="000E7B53" w:rsidRPr="000E7B53">
        <w:t xml:space="preserve"> - </w:t>
      </w:r>
      <w:r w:rsidRPr="000E7B53">
        <w:t xml:space="preserve">это </w:t>
      </w:r>
      <w:r w:rsidR="005873A1" w:rsidRPr="000E7B53">
        <w:t xml:space="preserve">счёт </w:t>
      </w:r>
      <w:r w:rsidRPr="000E7B53">
        <w:t xml:space="preserve">22 </w:t>
      </w:r>
      <w:r w:rsidR="000E7B53" w:rsidRPr="000E7B53">
        <w:t>"</w:t>
      </w:r>
      <w:r w:rsidRPr="000E7B53">
        <w:t>Выплаты по договорам страхования, сострахования и перестрахования</w:t>
      </w:r>
      <w:r w:rsidR="000E7B53" w:rsidRPr="000E7B53">
        <w:t>"</w:t>
      </w:r>
      <w:r w:rsidRPr="000E7B53">
        <w:t xml:space="preserve">, </w:t>
      </w:r>
      <w:r w:rsidR="005873A1" w:rsidRPr="000E7B53">
        <w:t xml:space="preserve">счёт </w:t>
      </w:r>
      <w:r w:rsidRPr="000E7B53">
        <w:t xml:space="preserve">77 </w:t>
      </w:r>
      <w:r w:rsidR="000E7B53" w:rsidRPr="000E7B53">
        <w:t>"</w:t>
      </w:r>
      <w:r w:rsidRPr="000E7B53">
        <w:t>Расчёты по страхованию, сострахованию и перестрахованию</w:t>
      </w:r>
      <w:r w:rsidR="000E7B53" w:rsidRPr="000E7B53">
        <w:t>"</w:t>
      </w:r>
      <w:r w:rsidRPr="000E7B53">
        <w:t xml:space="preserve">, </w:t>
      </w:r>
      <w:r w:rsidR="005873A1" w:rsidRPr="000E7B53">
        <w:t xml:space="preserve">счёт </w:t>
      </w:r>
      <w:r w:rsidRPr="000E7B53">
        <w:t xml:space="preserve">92 </w:t>
      </w:r>
      <w:r w:rsidR="000E7B53" w:rsidRPr="000E7B53">
        <w:t>"</w:t>
      </w:r>
      <w:r w:rsidRPr="000E7B53">
        <w:t>Страховые премии (взносы</w:t>
      </w:r>
      <w:r w:rsidR="000E7B53">
        <w:t>)"</w:t>
      </w:r>
      <w:r w:rsidR="000E7B53" w:rsidRPr="000E7B53">
        <w:t xml:space="preserve">; </w:t>
      </w:r>
      <w:r w:rsidR="005873A1" w:rsidRPr="000E7B53">
        <w:t xml:space="preserve">счёт </w:t>
      </w:r>
      <w:r w:rsidRPr="000E7B53">
        <w:t xml:space="preserve">95 </w:t>
      </w:r>
      <w:r w:rsidR="000E7B53" w:rsidRPr="000E7B53">
        <w:t>"</w:t>
      </w:r>
      <w:r w:rsidRPr="000E7B53">
        <w:t>Страховые резервы</w:t>
      </w:r>
      <w:r w:rsidR="000E7B53" w:rsidRPr="000E7B53">
        <w:t xml:space="preserve">".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>формирование финансовых результатов напрямую на счёте прибылей и убытков</w:t>
      </w:r>
      <w:r w:rsidR="000E7B53" w:rsidRPr="000E7B53">
        <w:t xml:space="preserve">.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Кроме этого, для обобщения информации о расходах страховой организации, связанных с заключением договоров страхования, сострахования и перестрахования, прочих расходах, связанных с осуществлением операций по страхованию, сострахованию и перестрахованию, а также управлению страховой организацией применяется счёт 26 </w:t>
      </w:r>
      <w:r w:rsidR="000E7B53" w:rsidRPr="000E7B53">
        <w:t>"</w:t>
      </w:r>
      <w:r w:rsidRPr="000E7B53">
        <w:t>Общепроизводственные расходы</w:t>
      </w:r>
      <w:r w:rsidR="000E7B53" w:rsidRPr="000E7B53">
        <w:t xml:space="preserve">". </w:t>
      </w:r>
      <w:r w:rsidRPr="000E7B53">
        <w:t>Таким образом, аккумулирование расходов по основной деятельности страховыми организациями производится на счёте 26, а счёт 20 в данном случае вообще не используется</w:t>
      </w:r>
      <w:r w:rsidR="000E7B53" w:rsidRPr="000E7B53">
        <w:t xml:space="preserve">.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>Существенной особенностью учёта в страховых компаниях является прямая корреспонденция счетов 22, 26, 92, 95 и 96 (в части резерва предупредительных мероприятий</w:t>
      </w:r>
      <w:r w:rsidR="000E7B53" w:rsidRPr="000E7B53">
        <w:t xml:space="preserve">) </w:t>
      </w:r>
      <w:r w:rsidRPr="000E7B53">
        <w:t>со счётом 99</w:t>
      </w:r>
      <w:r w:rsidR="000E7B53" w:rsidRPr="000E7B53">
        <w:t xml:space="preserve">. </w:t>
      </w:r>
      <w:r w:rsidRPr="000E7B53">
        <w:t>То есть при определении финансового результата от основной деятельности счёт 90 не задействуется</w:t>
      </w:r>
      <w:r w:rsidR="000E7B53" w:rsidRPr="000E7B53">
        <w:t xml:space="preserve">.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>Отчётность страховых организаций составляется в разрезе функций страхования (страхование жизни и страхование иное, чем страхование жизни</w:t>
      </w:r>
      <w:r w:rsidR="000E7B53" w:rsidRPr="000E7B53">
        <w:t xml:space="preserve">).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242C70" w:rsidRPr="000E7B53" w:rsidRDefault="00242C70" w:rsidP="00F653D7">
      <w:pPr>
        <w:pStyle w:val="2"/>
      </w:pPr>
      <w:bookmarkStart w:id="6" w:name="_Toc229244994"/>
      <w:r w:rsidRPr="000E7B53">
        <w:t>3</w:t>
      </w:r>
      <w:r w:rsidR="000E7B53" w:rsidRPr="000E7B53">
        <w:t xml:space="preserve">. </w:t>
      </w:r>
      <w:r w:rsidRPr="000E7B53">
        <w:t>Факторы и факторные показатели в анализе и аудите страховой организации</w:t>
      </w:r>
      <w:bookmarkEnd w:id="6"/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Использования совокупности различных классификационных признаков группировки факторов и факторных показателей формирования финансовых результатов страховых организаций (по их отнесению к основной и прочей деятельности, по роли в страховом процессе, по уровню специализации, а также по отнесению к доходам, расходам или результатам</w:t>
      </w:r>
      <w:r w:rsidR="000E7B53" w:rsidRPr="000E7B53">
        <w:t>),</w:t>
      </w:r>
      <w:r w:rsidRPr="000E7B53">
        <w:t xml:space="preserve"> позволяет классифицировать причины изменений прибыли страховщиков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силу специфичности страховой деятельности, необходимо выделение трёх групп факторов, влияющих на формирование финансовых результатов</w:t>
      </w:r>
      <w:r w:rsidR="000E7B53" w:rsidRPr="000E7B53">
        <w:t xml:space="preserve">: </w:t>
      </w:r>
      <w:r w:rsidRPr="000E7B53">
        <w:t>общеэкономические, отраслевые (вида деятельности</w:t>
      </w:r>
      <w:r w:rsidR="000E7B53" w:rsidRPr="000E7B53">
        <w:t xml:space="preserve">) </w:t>
      </w:r>
      <w:r w:rsidRPr="000E7B53">
        <w:t>и субъективные (внутренние</w:t>
      </w:r>
      <w:r w:rsidR="000E7B53" w:rsidRPr="000E7B53">
        <w:t xml:space="preserve">).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рамках экономического анализа важным методологическим вопросом является не только выявление</w:t>
      </w:r>
      <w:r w:rsidR="000E7B53" w:rsidRPr="000E7B53">
        <w:t xml:space="preserve"> </w:t>
      </w:r>
      <w:r w:rsidRPr="000E7B53">
        <w:t>и изучение факторов, как причин или существенных обстоятельств экономических процессов, но и измерение их влияния на величину этих процессов, которое выражается в величине факторных показателей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Факторными показателями первого порядка будут доходы и расходы</w:t>
      </w:r>
      <w:r w:rsidR="000E7B53" w:rsidRPr="000E7B53">
        <w:t xml:space="preserve">. </w:t>
      </w:r>
      <w:r w:rsidRPr="000E7B53">
        <w:t>В публикациях учёных распространены смешанные классификации доходов и расходов страховщиков по нескольким признакам, однако они не могут в полной мере использоваться для проведения анализа финансовых результатов из-за невозможности полного наложения ни одного из авторских подходов на бухгалтерскую систему для создания информационного обеспечения высокого уровня аналитичности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формирования более существенного представления о причинах изменений прибыли страховых организаций было доказано, что необходимо использовать сочетания различных классификационных признаков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При рассмотрении общей величины прибылей и убытков целесообразно выделение основных (по страховой деятельности</w:t>
      </w:r>
      <w:r w:rsidR="000E7B53" w:rsidRPr="000E7B53">
        <w:t xml:space="preserve">) </w:t>
      </w:r>
      <w:r w:rsidRPr="000E7B53">
        <w:t>а также прочих доходов, расходов и результатов, косвенно связанных и не связанных со страховой деятельностью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Основные доходы и расходы могут быть рассмотрены в следующих разрезах</w:t>
      </w:r>
      <w:r w:rsidR="000E7B53" w:rsidRPr="000E7B53">
        <w:t xml:space="preserve">: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 роли страховой организации в страховом процессе (договоры страхования (основные</w:t>
      </w:r>
      <w:r w:rsidR="000E7B53" w:rsidRPr="000E7B53">
        <w:t xml:space="preserve">); </w:t>
      </w:r>
      <w:r w:rsidRPr="000E7B53">
        <w:t>сострахование</w:t>
      </w:r>
      <w:r w:rsidR="000E7B53" w:rsidRPr="000E7B53">
        <w:t xml:space="preserve">; </w:t>
      </w:r>
      <w:r w:rsidRPr="000E7B53">
        <w:t>риски, принятые</w:t>
      </w:r>
      <w:r w:rsidR="000E7B53" w:rsidRPr="000E7B53">
        <w:t xml:space="preserve"> </w:t>
      </w:r>
      <w:r w:rsidRPr="000E7B53">
        <w:t>в перестрахование</w:t>
      </w:r>
      <w:r w:rsidR="000E7B53" w:rsidRPr="000E7B53">
        <w:t xml:space="preserve">; </w:t>
      </w:r>
      <w:r w:rsidRPr="000E7B53">
        <w:t>риски, переданные в перестрахование</w:t>
      </w:r>
      <w:r w:rsidR="000E7B53" w:rsidRPr="000E7B53">
        <w:t xml:space="preserve">).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  <w:r w:rsidRPr="000E7B53">
        <w:t>По уровню специализации страховой компании (по функциям, по отраслям</w:t>
      </w:r>
      <w:r w:rsidR="000E7B53" w:rsidRPr="000E7B53">
        <w:t xml:space="preserve">).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  <w:rPr>
          <w:rFonts w:eastAsia="Batang"/>
        </w:rPr>
      </w:pPr>
      <w:r w:rsidRPr="000E7B53">
        <w:t>По отнесению к доходам, расходам или результату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составе прочих доходов, расходов и результатов, косвенно связанных и не связанных со страховой деятельностью необходимо выделение следующих составляющих</w:t>
      </w:r>
      <w:r w:rsidR="000E7B53" w:rsidRPr="000E7B53">
        <w:t xml:space="preserve">: </w:t>
      </w:r>
      <w:r w:rsidRPr="000E7B53">
        <w:t>отчисления на предупредительные мероприятия</w:t>
      </w:r>
      <w:r w:rsidR="000E7B53" w:rsidRPr="000E7B53">
        <w:t xml:space="preserve">; </w:t>
      </w:r>
      <w:r w:rsidRPr="000E7B53">
        <w:t>общехозяйственные расходы</w:t>
      </w:r>
      <w:r w:rsidR="000E7B53" w:rsidRPr="000E7B53">
        <w:t xml:space="preserve">; </w:t>
      </w:r>
      <w:r w:rsidRPr="000E7B53">
        <w:t>сальдо доходов и расходов от инвестиционной деятельности</w:t>
      </w:r>
      <w:r w:rsidR="000E7B53" w:rsidRPr="000E7B53">
        <w:t xml:space="preserve">; </w:t>
      </w:r>
      <w:r w:rsidRPr="000E7B53">
        <w:t>сальдо доходов и расходов от прочей операционной деятельности</w:t>
      </w:r>
      <w:r w:rsidR="000E7B53" w:rsidRPr="000E7B53">
        <w:t xml:space="preserve">; </w:t>
      </w:r>
      <w:r w:rsidRPr="000E7B53">
        <w:t>сальдо внереализационных доходов и расходов</w:t>
      </w:r>
      <w:r w:rsidR="000E7B53" w:rsidRPr="000E7B53">
        <w:t xml:space="preserve">; </w:t>
      </w:r>
      <w:r w:rsidRPr="000E7B53">
        <w:t>потери, расходы и</w:t>
      </w:r>
      <w:r w:rsidR="000E7B53" w:rsidRPr="000E7B53">
        <w:t xml:space="preserve"> </w:t>
      </w:r>
      <w:r w:rsidRPr="000E7B53">
        <w:t>доходы в связи с чрезвычайными обстоятельствами</w:t>
      </w:r>
      <w:r w:rsidR="000E7B53" w:rsidRPr="000E7B53">
        <w:t xml:space="preserve">; </w:t>
      </w:r>
      <w:r w:rsidRPr="000E7B53">
        <w:t>платежи налога на прибыль и причитающиеся налоговые санкции</w:t>
      </w:r>
      <w:r w:rsidR="000E7B53" w:rsidRPr="000E7B53">
        <w:t xml:space="preserve">. </w:t>
      </w:r>
    </w:p>
    <w:p w:rsidR="00242C70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Общехозяйственные расходы будут включать затраты по заключению договоров страхования, прочие расходы на ведение страховых операций, вознаграждения и тантьемы по договорам перестрахования и расходы по управлению страховой организацией, не связанные непосредственно с операциями страхования, сострахования и перестрахования (управленческие расходы</w:t>
      </w:r>
      <w:r w:rsidR="000E7B53" w:rsidRPr="000E7B53">
        <w:t xml:space="preserve">). </w:t>
      </w:r>
      <w:r w:rsidRPr="000E7B53">
        <w:t>Причем первые две составляющие должны быть представлены в разрезах по роли страховой организации в страховом процессе и по уровню специализации страховой компании</w:t>
      </w:r>
      <w:r w:rsidR="000E7B53" w:rsidRPr="000E7B53">
        <w:t xml:space="preserve">; </w:t>
      </w:r>
      <w:r w:rsidRPr="000E7B53">
        <w:t>третья составляющая</w:t>
      </w:r>
      <w:r w:rsidR="000E7B53" w:rsidRPr="000E7B53">
        <w:t xml:space="preserve"> - </w:t>
      </w:r>
      <w:r w:rsidRPr="000E7B53">
        <w:t>по уровню специализации страховой организации, а четвёртая</w:t>
      </w:r>
      <w:r w:rsidR="000E7B53" w:rsidRPr="000E7B53">
        <w:t xml:space="preserve"> - </w:t>
      </w:r>
      <w:r w:rsidRPr="000E7B53">
        <w:t>по статьям расходов</w:t>
      </w:r>
      <w:r w:rsidR="000E7B53" w:rsidRPr="000E7B53">
        <w:t xml:space="preserve">. </w:t>
      </w:r>
    </w:p>
    <w:p w:rsidR="005E6C27" w:rsidRPr="000E7B53" w:rsidRDefault="00242C70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составе прочих доходов и расходов должно быть отдельное отражение инвестиционной деятельности, прочей операционной деятельности и внереализационных операций</w:t>
      </w:r>
      <w:r w:rsidR="000E7B53" w:rsidRPr="000E7B53">
        <w:t xml:space="preserve">. </w:t>
      </w:r>
      <w:r w:rsidRPr="000E7B53">
        <w:t>Первую составляющую необходимо представить в разрезе</w:t>
      </w:r>
      <w:r w:rsidR="000E7B53" w:rsidRPr="000E7B53">
        <w:t xml:space="preserve"> </w:t>
      </w:r>
      <w:r w:rsidRPr="000E7B53">
        <w:t>специализации, а также по отнесению к доходам, расходам и результату, остальные</w:t>
      </w:r>
      <w:r w:rsidR="000E7B53" w:rsidRPr="000E7B53">
        <w:t xml:space="preserve"> - </w:t>
      </w:r>
      <w:r w:rsidRPr="000E7B53">
        <w:t>только по отнесению к доходам, расходам и результатам</w:t>
      </w:r>
      <w:r w:rsidR="000E7B53" w:rsidRPr="000E7B53">
        <w:t xml:space="preserve">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CB5983" w:rsidRDefault="00CB5983" w:rsidP="00F653D7">
      <w:pPr>
        <w:pStyle w:val="2"/>
      </w:pPr>
      <w:bookmarkStart w:id="7" w:name="_Toc229244995"/>
      <w:r w:rsidRPr="000E7B53">
        <w:t>4</w:t>
      </w:r>
      <w:r w:rsidR="000E7B53" w:rsidRPr="000E7B53">
        <w:t xml:space="preserve">. </w:t>
      </w:r>
      <w:r w:rsidRPr="000E7B53">
        <w:t>Дуоцентрическая система показателей финансовых результатов</w:t>
      </w:r>
      <w:r w:rsidR="0081459A" w:rsidRPr="000E7B53">
        <w:t xml:space="preserve"> при анализе прибыли страховых организаций</w:t>
      </w:r>
      <w:bookmarkEnd w:id="7"/>
    </w:p>
    <w:p w:rsidR="00F653D7" w:rsidRPr="000E7B53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CB5983" w:rsidRPr="000E7B53" w:rsidRDefault="00CB5983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Подход к методам анализа прибыли страховых организаций, предполагающий формирование дуоцентрической системы показателей финансовых результатов страховых компаний с учётом их специализации, позволяющий комплексно оценить результаты деятельности страховщиков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Целью анализа прибыли страховых организаций будет поиск путей</w:t>
      </w:r>
      <w:r w:rsidR="000E7B53" w:rsidRPr="000E7B53">
        <w:t xml:space="preserve"> </w:t>
      </w:r>
      <w:r w:rsidRPr="000E7B53">
        <w:t>достижение максимально возможного в рамках социального аспекта деятельности размера прибыли</w:t>
      </w:r>
      <w:r w:rsidR="000E7B53" w:rsidRPr="000E7B53">
        <w:t xml:space="preserve">. </w:t>
      </w:r>
      <w:r w:rsidRPr="000E7B53">
        <w:t xml:space="preserve">Говоря о социальном аспекте, </w:t>
      </w:r>
      <w:r w:rsidR="005873A1" w:rsidRPr="000E7B53">
        <w:t>имеется</w:t>
      </w:r>
      <w:r w:rsidRPr="000E7B53">
        <w:t xml:space="preserve"> в виду, что коммерческая организация, осуществляющая страховую деятельность, не имеет права максимизировать свою прибыль в ущерб интересам страхователей, застрахованных, выгодоприобретателей, государства и общества</w:t>
      </w:r>
      <w:r w:rsidR="000E7B53" w:rsidRPr="000E7B53">
        <w:t xml:space="preserve">. </w:t>
      </w:r>
    </w:p>
    <w:p w:rsidR="00CB5983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Цель анализа находит свою конкретизацию в задачах</w:t>
      </w:r>
      <w:r w:rsidR="000E7B53" w:rsidRPr="000E7B53">
        <w:t xml:space="preserve">. </w:t>
      </w:r>
      <w:r w:rsidRPr="000E7B53">
        <w:t>Ориентируясь на циклические фазы управления, задачи анализа прибыли страховщиков можно определить следующим образом</w:t>
      </w:r>
      <w:r w:rsidR="000E7B53" w:rsidRPr="000E7B53">
        <w:t xml:space="preserve">: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Повышение научно-экономической обоснованности составления прогнозного отчёта о прибылях и убытках в рамках оперативного бюджета страховой организации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Сбор информации о финансовых результатах страховой организации с целью изучения исходного положения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Осуществление систематического контроля и оценка фактической реализации выполнения планов по расширению страхового портфеля и получению прибыли страховой организации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Определение влияния общеэкономических, отраслевых (вида деятельности</w:t>
      </w:r>
      <w:r w:rsidR="000E7B53" w:rsidRPr="000E7B53">
        <w:t xml:space="preserve">) </w:t>
      </w:r>
      <w:r w:rsidRPr="000E7B53">
        <w:t>и субъективных (внутренних</w:t>
      </w:r>
      <w:r w:rsidR="000E7B53" w:rsidRPr="000E7B53">
        <w:t xml:space="preserve">) </w:t>
      </w:r>
      <w:r w:rsidRPr="000E7B53">
        <w:t>факторов на финансовые результаты страховщика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Выявление резервов роста суммы прибыли, снижения убыточности страховых случаев и повышения рентабельности деятельности страховой организации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Разработка ряда управленческих решений по освоению выявленных резервов, испытание их оптимальности</w:t>
      </w:r>
      <w:r w:rsidR="000E7B53" w:rsidRPr="000E7B53">
        <w:t xml:space="preserve">. </w:t>
      </w:r>
    </w:p>
    <w:p w:rsidR="00A91D81" w:rsidRPr="000E7B53" w:rsidRDefault="00A91D81" w:rsidP="000E7B53">
      <w:pPr>
        <w:widowControl w:val="0"/>
        <w:autoSpaceDE w:val="0"/>
        <w:autoSpaceDN w:val="0"/>
        <w:adjustRightInd w:val="0"/>
        <w:ind w:firstLine="709"/>
      </w:pPr>
      <w:r w:rsidRPr="000E7B53">
        <w:t>Контроль за внедрением наиболее эффективного решения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В качестве объекта анализа прибыли страховщиков выступают конечные результаты финансово-хозяйственной деятельности страховой организации с учётом нацеленности на прибыльное функционирование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С учётом особенностей вида деятельности и формирования информации в бухгалтерском учёте наиболее полно объект исследования будет характеризовать дуоцентрическая</w:t>
      </w:r>
      <w:r w:rsidR="000E7B53" w:rsidRPr="000E7B53">
        <w:t xml:space="preserve"> </w:t>
      </w:r>
      <w:r w:rsidRPr="000E7B53">
        <w:t>система, включающая как специфические показатели в зависимости от специализации страховой организации (централь 1</w:t>
      </w:r>
      <w:r w:rsidR="000E7B53" w:rsidRPr="000E7B53">
        <w:t xml:space="preserve"> - </w:t>
      </w:r>
      <w:r w:rsidRPr="000E7B53">
        <w:t>личное страхование, централь 2</w:t>
      </w:r>
      <w:r w:rsidR="000E7B53" w:rsidRPr="000E7B53">
        <w:t xml:space="preserve"> - </w:t>
      </w:r>
      <w:r w:rsidRPr="000E7B53">
        <w:t>рисковое страхование</w:t>
      </w:r>
      <w:r w:rsidR="000E7B53" w:rsidRPr="000E7B53">
        <w:t>),</w:t>
      </w:r>
      <w:r w:rsidRPr="000E7B53">
        <w:t xml:space="preserve"> так и общие (зона пересечения централей</w:t>
      </w:r>
      <w:r w:rsidR="000E7B53" w:rsidRPr="000E7B53">
        <w:t xml:space="preserve">). </w:t>
      </w:r>
    </w:p>
    <w:p w:rsidR="00A91D81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организаций, осуществляющих личное страхование (страхование жизни, страхование от несчастных случаев и добровольное медицинское страхование</w:t>
      </w:r>
      <w:r w:rsidR="000E7B53" w:rsidRPr="000E7B53">
        <w:t>),</w:t>
      </w:r>
      <w:r w:rsidRPr="000E7B53">
        <w:t xml:space="preserve"> а также для страховых организаций, которые до 01 июля 2007 года занимались и личным, и рисковым страхованием, перечень показателей, характеризующих объект исследования, будет несколько шире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 от операций по страхованию жизни (без учёта результата по инвестициям</w:t>
      </w:r>
      <w:r w:rsidR="000E7B53" w:rsidRPr="000E7B53">
        <w:t xml:space="preserve">) </w:t>
      </w:r>
      <w:r w:rsidRPr="000E7B53">
        <w:t>определяется</w:t>
      </w:r>
      <w:r w:rsidR="000E7B53" w:rsidRPr="000E7B53">
        <w:t xml:space="preserve"> </w:t>
      </w:r>
      <w:r w:rsidRPr="000E7B53">
        <w:t>вычитанием из страховых премий (взносов</w:t>
      </w:r>
      <w:r w:rsidR="000E7B53" w:rsidRPr="000E7B53">
        <w:t xml:space="preserve">) </w:t>
      </w:r>
      <w:r w:rsidRPr="000E7B53">
        <w:t>по страхованию жизни выплат по договорам страхования жизни, добавлением дополнительного дохода (вычитанием дополнительного расхода</w:t>
      </w:r>
      <w:r w:rsidR="000E7B53" w:rsidRPr="000E7B53">
        <w:t xml:space="preserve">) </w:t>
      </w:r>
      <w:r w:rsidRPr="000E7B53">
        <w:t>от изменения резервов по страхованию жизни, и вычитанием расходов на ведение</w:t>
      </w:r>
      <w:r w:rsidR="000E7B53" w:rsidRPr="000E7B53">
        <w:t xml:space="preserve"> </w:t>
      </w:r>
      <w:r w:rsidRPr="000E7B53">
        <w:t>страховых операций по страхованию жизни (всё без учёта перестрахования</w:t>
      </w:r>
      <w:r w:rsidR="000E7B53" w:rsidRPr="000E7B53">
        <w:t xml:space="preserve">). </w:t>
      </w:r>
      <w:r w:rsidRPr="000E7B53">
        <w:t>Если опираться на</w:t>
      </w:r>
      <w:r w:rsidR="000E7B53" w:rsidRPr="000E7B53">
        <w:t xml:space="preserve"> </w:t>
      </w:r>
      <w:r w:rsidRPr="000E7B53">
        <w:t>форму № 2-страховщик, то результат от операций по страхованию жизни 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Pr="000E7B53">
        <w:t xml:space="preserve"> будет определяться следующим образом</w:t>
      </w:r>
      <w:r w:rsidR="000E7B53" w:rsidRPr="000E7B53">
        <w:t xml:space="preserve">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="000E7B53" w:rsidRPr="000E7B53">
        <w:t xml:space="preserve"> </w:t>
      </w:r>
      <w:r w:rsidRPr="000E7B53">
        <w:t>= с</w:t>
      </w:r>
      <w:r w:rsidR="000E7B53">
        <w:t>.0</w:t>
      </w:r>
      <w:r w:rsidRPr="000E7B53">
        <w:t>10</w:t>
      </w:r>
      <w:r w:rsidR="000E7B53" w:rsidRPr="000E7B53">
        <w:t xml:space="preserve"> - </w:t>
      </w:r>
      <w:r w:rsidRPr="000E7B53">
        <w:t>с</w:t>
      </w:r>
      <w:r w:rsidR="000E7B53">
        <w:t>.0</w:t>
      </w:r>
      <w:r w:rsidRPr="000E7B53">
        <w:t>30 + с</w:t>
      </w:r>
      <w:r w:rsidR="000E7B53">
        <w:t>.0</w:t>
      </w:r>
      <w:r w:rsidRPr="000E7B53">
        <w:t>40</w:t>
      </w:r>
      <w:r w:rsidR="000E7B53" w:rsidRPr="000E7B53">
        <w:t xml:space="preserve"> - </w:t>
      </w:r>
      <w:r w:rsidRPr="000E7B53">
        <w:t>с</w:t>
      </w:r>
      <w:r w:rsidR="000E7B53">
        <w:t>.0</w:t>
      </w:r>
      <w:r w:rsidRPr="000E7B53">
        <w:t>50 = с</w:t>
      </w:r>
      <w:r w:rsidR="000E7B53">
        <w:t>.0</w:t>
      </w:r>
      <w:r w:rsidRPr="000E7B53">
        <w:t>70</w:t>
      </w:r>
      <w:r w:rsidR="000E7B53" w:rsidRPr="000E7B53">
        <w:t xml:space="preserve"> - </w:t>
      </w:r>
      <w:r w:rsidRPr="000E7B53">
        <w:t>с</w:t>
      </w:r>
      <w:r w:rsidR="000E7B53">
        <w:t>.0</w:t>
      </w:r>
      <w:r w:rsidRPr="000E7B53">
        <w:t>20 + с</w:t>
      </w:r>
      <w:r w:rsidR="000E7B53">
        <w:t>.0</w:t>
      </w:r>
      <w:r w:rsidRPr="000E7B53">
        <w:t>60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 от операций страхования иного, чем страхование жизни П(У</w:t>
      </w:r>
      <w:r w:rsidR="000E7B53" w:rsidRPr="000E7B53">
        <w:t xml:space="preserve">) </w:t>
      </w:r>
      <w:r w:rsidRPr="000E7B53">
        <w:rPr>
          <w:lang w:val="en-US"/>
        </w:rPr>
        <w:t>NL</w:t>
      </w:r>
      <w:r w:rsidRPr="000E7B53">
        <w:t xml:space="preserve"> определяется добавлением к полученным страховым премиям дополнительного дохода (вычитанием дополнительного расхода</w:t>
      </w:r>
      <w:r w:rsidR="000E7B53" w:rsidRPr="000E7B53">
        <w:t>),</w:t>
      </w:r>
      <w:r w:rsidRPr="000E7B53">
        <w:t xml:space="preserve"> связанного</w:t>
      </w:r>
      <w:r w:rsidR="000E7B53" w:rsidRPr="000E7B53">
        <w:t xml:space="preserve"> </w:t>
      </w:r>
      <w:r w:rsidRPr="000E7B53">
        <w:t>с изменением резерва незаработанной премии, вычитанием состоявшихся убытков, добавлением дополнительного дохода (вычитанием дополнительного расхода</w:t>
      </w:r>
      <w:r w:rsidR="000E7B53" w:rsidRPr="000E7B53">
        <w:t xml:space="preserve">) </w:t>
      </w:r>
      <w:r w:rsidRPr="000E7B53">
        <w:t>из-за изменения</w:t>
      </w:r>
      <w:r w:rsidR="000E7B53" w:rsidRPr="000E7B53">
        <w:t xml:space="preserve"> </w:t>
      </w:r>
      <w:r w:rsidRPr="000E7B53">
        <w:t>других страховых резервов и вычитанием отчислений от страховых премий и расходов по ведению соответствующих страховых операций (без учёта перестрахования</w:t>
      </w:r>
      <w:r w:rsidR="000E7B53" w:rsidRPr="000E7B53">
        <w:t xml:space="preserve">). </w:t>
      </w:r>
      <w:r w:rsidRPr="000E7B53">
        <w:t>По форме № 2-страховщик этот показатель будет определяться</w:t>
      </w:r>
      <w:r w:rsidR="000E7B53" w:rsidRPr="000E7B53">
        <w:t xml:space="preserve"> </w:t>
      </w:r>
      <w:r w:rsidRPr="000E7B53">
        <w:t>так</w:t>
      </w:r>
      <w:r w:rsidR="000E7B53" w:rsidRPr="000E7B53">
        <w:t xml:space="preserve">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NL</w:t>
      </w:r>
      <w:r w:rsidRPr="000E7B53">
        <w:t xml:space="preserve"> = </w:t>
      </w:r>
      <w:r w:rsidRPr="000E7B53">
        <w:rPr>
          <w:lang w:val="en-US"/>
        </w:rPr>
        <w:t>c</w:t>
      </w:r>
      <w:r w:rsidR="000E7B53">
        <w:t>.0</w:t>
      </w:r>
      <w:r w:rsidRPr="000E7B53">
        <w:t>80 + с</w:t>
      </w:r>
      <w:r w:rsidR="000E7B53">
        <w:t>.0</w:t>
      </w:r>
      <w:r w:rsidRPr="000E7B53">
        <w:t>90</w:t>
      </w:r>
      <w:r w:rsidR="000E7B53" w:rsidRPr="000E7B53">
        <w:t xml:space="preserve"> - </w:t>
      </w:r>
      <w:r w:rsidRPr="000E7B53">
        <w:t>с</w:t>
      </w:r>
      <w:r w:rsidR="000E7B53">
        <w:t>.1</w:t>
      </w:r>
      <w:r w:rsidRPr="000E7B53">
        <w:t>00 + с</w:t>
      </w:r>
      <w:r w:rsidR="000E7B53">
        <w:t>.1</w:t>
      </w:r>
      <w:r w:rsidRPr="000E7B53">
        <w:t>30</w:t>
      </w:r>
      <w:r w:rsidR="000E7B53" w:rsidRPr="000E7B53">
        <w:t xml:space="preserve"> - </w:t>
      </w:r>
      <w:r w:rsidRPr="000E7B53">
        <w:t>с</w:t>
      </w:r>
      <w:r w:rsidR="000E7B53">
        <w:t>.1</w:t>
      </w:r>
      <w:r w:rsidRPr="000E7B53">
        <w:t>50</w:t>
      </w:r>
      <w:r w:rsidR="000E7B53" w:rsidRPr="000E7B53">
        <w:t xml:space="preserve"> - </w:t>
      </w:r>
      <w:r w:rsidRPr="000E7B53">
        <w:t>с</w:t>
      </w:r>
      <w:r w:rsidR="000E7B53">
        <w:t>.1</w:t>
      </w:r>
      <w:r w:rsidRPr="000E7B53">
        <w:t>60 = с</w:t>
      </w:r>
      <w:r w:rsidR="000E7B53">
        <w:t>.1</w:t>
      </w:r>
      <w:r w:rsidRPr="000E7B53">
        <w:t>70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Кроме того, </w:t>
      </w:r>
      <w:r w:rsidR="003A3884" w:rsidRPr="000E7B53">
        <w:t>видится</w:t>
      </w:r>
      <w:r w:rsidRPr="000E7B53">
        <w:t xml:space="preserve"> целесообразным введение дополнительного промежуточного показателя, не предусмотренного в отчётности вообще, обобщающего результаты страхования в целом 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Pr="000E7B53">
        <w:t>+</w:t>
      </w:r>
      <w:r w:rsidRPr="000E7B53">
        <w:rPr>
          <w:lang w:val="en-US"/>
        </w:rPr>
        <w:t>NL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Pr="000E7B53">
        <w:t>+</w:t>
      </w:r>
      <w:r w:rsidRPr="000E7B53">
        <w:rPr>
          <w:lang w:val="en-US"/>
        </w:rPr>
        <w:t>NL</w:t>
      </w:r>
      <w:r w:rsidRPr="000E7B53">
        <w:t xml:space="preserve"> = 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Pr="000E7B53">
        <w:t>+ П(У</w:t>
      </w:r>
      <w:r w:rsidR="000E7B53" w:rsidRPr="000E7B53">
        <w:t xml:space="preserve">) </w:t>
      </w:r>
      <w:r w:rsidRPr="000E7B53">
        <w:rPr>
          <w:lang w:val="en-US"/>
        </w:rPr>
        <w:t>NL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 от инвестирования средств резервов 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="000E7B53" w:rsidRPr="000E7B53">
        <w:t xml:space="preserve"> </w:t>
      </w:r>
      <w:r w:rsidRPr="000E7B53">
        <w:t>будет складываться из результата от инвестирования резервов по страхованию жизни П(У</w:t>
      </w:r>
      <w:r w:rsidR="000E7B53" w:rsidRPr="000E7B53">
        <w:t xml:space="preserve">) </w:t>
      </w:r>
      <w:r w:rsidRPr="000E7B53">
        <w:rPr>
          <w:lang w:val="en-US"/>
        </w:rPr>
        <w:t>IL</w:t>
      </w:r>
      <w:r w:rsidR="000E7B53" w:rsidRPr="000E7B53">
        <w:t xml:space="preserve"> </w:t>
      </w:r>
      <w:r w:rsidRPr="000E7B53">
        <w:t>и результата от инвестирования резервов по страхованию иному, чем страхование жизни 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Pr="000E7B53">
        <w:t xml:space="preserve"> </w:t>
      </w:r>
      <w:r w:rsidRPr="000E7B53">
        <w:rPr>
          <w:lang w:val="en-US"/>
        </w:rPr>
        <w:t>NL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Результаты от инвестирования резервов по страхованию жизни и по страхованию иному, чем страхование жизни, определяются как разность соответствующих доходов и расходов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 форме № 2-страховщик суммы определяются следующим образом</w:t>
      </w:r>
      <w:r w:rsidR="000E7B53" w:rsidRPr="000E7B53">
        <w:t xml:space="preserve">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IL</w:t>
      </w:r>
      <w:r w:rsidRPr="000E7B53">
        <w:t xml:space="preserve"> = с</w:t>
      </w:r>
      <w:r w:rsidR="000E7B53">
        <w:t>.0</w:t>
      </w:r>
      <w:r w:rsidRPr="000E7B53">
        <w:t>20</w:t>
      </w:r>
      <w:r w:rsidR="000E7B53" w:rsidRPr="000E7B53">
        <w:t xml:space="preserve"> - </w:t>
      </w:r>
      <w:r w:rsidRPr="000E7B53">
        <w:t>с</w:t>
      </w:r>
      <w:r w:rsidR="000E7B53">
        <w:t>.0</w:t>
      </w:r>
      <w:r w:rsidRPr="000E7B53">
        <w:t>60</w:t>
      </w:r>
      <w:r w:rsidR="000E7B53" w:rsidRPr="000E7B53">
        <w:t xml:space="preserve">;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Pr="000E7B53">
        <w:t xml:space="preserve"> </w:t>
      </w:r>
      <w:r w:rsidRPr="000E7B53">
        <w:rPr>
          <w:lang w:val="en-US"/>
        </w:rPr>
        <w:t>NL</w:t>
      </w:r>
      <w:r w:rsidR="000E7B53" w:rsidRPr="000E7B53">
        <w:t xml:space="preserve"> </w:t>
      </w:r>
      <w:r w:rsidRPr="000E7B53">
        <w:t>= с</w:t>
      </w:r>
      <w:r w:rsidR="000E7B53">
        <w:t>.1</w:t>
      </w:r>
      <w:r w:rsidRPr="000E7B53">
        <w:t>80</w:t>
      </w:r>
      <w:r w:rsidR="000E7B53" w:rsidRPr="000E7B53">
        <w:t xml:space="preserve"> - </w:t>
      </w:r>
      <w:r w:rsidRPr="000E7B53">
        <w:t>с</w:t>
      </w:r>
      <w:r w:rsidR="000E7B53">
        <w:t>. 19</w:t>
      </w:r>
      <w:r w:rsidRPr="000E7B53">
        <w:t>0</w:t>
      </w:r>
      <w:r w:rsidR="000E7B53" w:rsidRPr="000E7B53">
        <w:t xml:space="preserve">;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="000E7B53" w:rsidRPr="000E7B53">
        <w:t xml:space="preserve"> </w:t>
      </w:r>
      <w:r w:rsidRPr="000E7B53">
        <w:t>= с</w:t>
      </w:r>
      <w:r w:rsidR="000E7B53">
        <w:t>.0</w:t>
      </w:r>
      <w:r w:rsidRPr="000E7B53">
        <w:t>20</w:t>
      </w:r>
      <w:r w:rsidR="000E7B53" w:rsidRPr="000E7B53">
        <w:t xml:space="preserve"> - </w:t>
      </w:r>
      <w:r w:rsidRPr="000E7B53">
        <w:t>с</w:t>
      </w:r>
      <w:r w:rsidR="000E7B53">
        <w:t>.0</w:t>
      </w:r>
      <w:r w:rsidRPr="000E7B53">
        <w:t>60 + с</w:t>
      </w:r>
      <w:r w:rsidR="000E7B53">
        <w:t>.1</w:t>
      </w:r>
      <w:r w:rsidRPr="000E7B53">
        <w:t>80</w:t>
      </w:r>
      <w:r w:rsidR="000E7B53" w:rsidRPr="000E7B53">
        <w:t xml:space="preserve"> - </w:t>
      </w:r>
      <w:r w:rsidRPr="000E7B53">
        <w:t>с</w:t>
      </w:r>
      <w:r w:rsidR="000E7B53">
        <w:t>. 19</w:t>
      </w:r>
      <w:r w:rsidRPr="000E7B53">
        <w:t>0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 от прочей операционной деятельности, не связанной с инвестициями П(У</w:t>
      </w:r>
      <w:r w:rsidR="000E7B53" w:rsidRPr="000E7B53">
        <w:t xml:space="preserve">) </w:t>
      </w:r>
      <w:r w:rsidRPr="000E7B53">
        <w:t>О определяется как разность операционных доходов и расходов, не связанных с инвестициями</w:t>
      </w:r>
      <w:r w:rsidR="000E7B53" w:rsidRPr="000E7B53">
        <w:t xml:space="preserve">. </w:t>
      </w:r>
      <w:r w:rsidRPr="000E7B53">
        <w:t>По форме № 2-страховщик расчёт таков</w:t>
      </w:r>
      <w:r w:rsidR="000E7B53" w:rsidRPr="000E7B53">
        <w:t xml:space="preserve">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t>О = с</w:t>
      </w:r>
      <w:r w:rsidR="000E7B53">
        <w:t>.2</w:t>
      </w:r>
      <w:r w:rsidRPr="000E7B53">
        <w:t>10</w:t>
      </w:r>
      <w:r w:rsidR="000E7B53" w:rsidRPr="000E7B53">
        <w:t xml:space="preserve"> - </w:t>
      </w:r>
      <w:r w:rsidRPr="000E7B53">
        <w:t>с</w:t>
      </w:r>
      <w:r w:rsidR="000E7B53">
        <w:t>.2</w:t>
      </w:r>
      <w:r w:rsidRPr="000E7B53">
        <w:t>20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 внереализационных операций П(У</w:t>
      </w:r>
      <w:r w:rsidR="000E7B53" w:rsidRPr="000E7B53">
        <w:t xml:space="preserve">) </w:t>
      </w:r>
      <w:r w:rsidRPr="000E7B53">
        <w:t>В определяется по той же логике</w:t>
      </w:r>
      <w:r w:rsidR="000E7B53" w:rsidRPr="000E7B53">
        <w:t xml:space="preserve">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t>В = с</w:t>
      </w:r>
      <w:r w:rsidR="000E7B53">
        <w:t>.2</w:t>
      </w:r>
      <w:r w:rsidRPr="000E7B53">
        <w:t>30</w:t>
      </w:r>
      <w:r w:rsidR="000E7B53" w:rsidRPr="000E7B53">
        <w:t xml:space="preserve"> - </w:t>
      </w:r>
      <w:r w:rsidRPr="000E7B53">
        <w:t>с</w:t>
      </w:r>
      <w:r w:rsidR="000E7B53">
        <w:t>.2</w:t>
      </w:r>
      <w:r w:rsidRPr="000E7B53">
        <w:t>40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Прибыль до налогообложения складывается из результата от операций по страхованию жизни, результата от страхования иного, чем страхование жизни, результата от инвестиций, результата от прочей операционной деятельности, не связанной с инвестициями, сальдо внереализационных операций за вычетом</w:t>
      </w:r>
      <w:r w:rsidR="000E7B53" w:rsidRPr="000E7B53">
        <w:t xml:space="preserve"> </w:t>
      </w:r>
      <w:r w:rsidRPr="000E7B53">
        <w:t>управленческих расходов (УР</w:t>
      </w:r>
      <w:r w:rsidR="000E7B53" w:rsidRPr="000E7B53">
        <w:t xml:space="preserve">):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П(У</w:t>
      </w:r>
      <w:r w:rsidR="000E7B53" w:rsidRPr="000E7B53">
        <w:t xml:space="preserve">) </w:t>
      </w:r>
      <w:r w:rsidRPr="000E7B53">
        <w:t>НО = П(У</w:t>
      </w:r>
      <w:r w:rsidR="000E7B53" w:rsidRPr="000E7B53">
        <w:t xml:space="preserve">) </w:t>
      </w:r>
      <w:r w:rsidRPr="000E7B53">
        <w:rPr>
          <w:lang w:val="en-US"/>
        </w:rPr>
        <w:t>L</w:t>
      </w:r>
      <w:r w:rsidRPr="000E7B53">
        <w:t xml:space="preserve"> + П(У</w:t>
      </w:r>
      <w:r w:rsidR="000E7B53" w:rsidRPr="000E7B53">
        <w:t xml:space="preserve">) </w:t>
      </w:r>
      <w:r w:rsidRPr="000E7B53">
        <w:rPr>
          <w:lang w:val="en-US"/>
        </w:rPr>
        <w:t>NL</w:t>
      </w:r>
      <w:r w:rsidRPr="000E7B53">
        <w:t xml:space="preserve"> + 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="000E7B53" w:rsidRPr="000E7B53">
        <w:t xml:space="preserve"> - </w:t>
      </w:r>
      <w:r w:rsidRPr="000E7B53">
        <w:t>УР + П(У</w:t>
      </w:r>
      <w:r w:rsidR="000E7B53" w:rsidRPr="000E7B53">
        <w:t xml:space="preserve">) </w:t>
      </w:r>
      <w:r w:rsidRPr="000E7B53">
        <w:t>О + П(У</w:t>
      </w:r>
      <w:r w:rsidR="000E7B53" w:rsidRPr="000E7B53">
        <w:t xml:space="preserve">) </w:t>
      </w:r>
      <w:r w:rsidRPr="000E7B53">
        <w:t>В</w:t>
      </w:r>
      <w:r w:rsidR="000E7B53" w:rsidRPr="000E7B53">
        <w:t xml:space="preserve">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Чистая (нераспределённая</w:t>
      </w:r>
      <w:r w:rsidR="000E7B53" w:rsidRPr="000E7B53">
        <w:t xml:space="preserve">) </w:t>
      </w:r>
      <w:r w:rsidRPr="000E7B53">
        <w:t>прибыль (убыток</w:t>
      </w:r>
      <w:r w:rsidR="000E7B53" w:rsidRPr="000E7B53">
        <w:t xml:space="preserve">) </w:t>
      </w:r>
      <w:r w:rsidRPr="000E7B53">
        <w:t>отчётного года П(У</w:t>
      </w:r>
      <w:r w:rsidR="000E7B53" w:rsidRPr="000E7B53">
        <w:t xml:space="preserve">) </w:t>
      </w:r>
      <w:r w:rsidRPr="000E7B53">
        <w:t>Ч равна разнице прибыли до налогообложения и расходов по налогу на прибыль (Н</w:t>
      </w:r>
      <w:r w:rsidR="000E7B53" w:rsidRPr="000E7B53">
        <w:t xml:space="preserve">). </w:t>
      </w:r>
    </w:p>
    <w:p w:rsidR="00FC2ED3" w:rsidRPr="000E7B53" w:rsidRDefault="00FC2ED3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оценки финансовых результатов страховых организаций, специализирующихся на проведении рискового страхования (от несчастных случаев, добровольное медицинское страхование, страхование имущества, гражданской ответственности и предпринимательских рисков</w:t>
      </w:r>
      <w:r w:rsidR="000E7B53" w:rsidRPr="000E7B53">
        <w:t>),</w:t>
      </w:r>
      <w:r w:rsidRPr="000E7B53">
        <w:t xml:space="preserve"> будут использоваться следующие показатели</w:t>
      </w:r>
      <w:r w:rsidR="000E7B53" w:rsidRPr="000E7B53">
        <w:t xml:space="preserve">: </w:t>
      </w:r>
      <w:r w:rsidR="00573ACB" w:rsidRPr="000E7B53">
        <w:t>Р</w:t>
      </w:r>
      <w:r w:rsidRPr="000E7B53">
        <w:t>езультат от операций страхования П(У</w:t>
      </w:r>
      <w:r w:rsidR="000E7B53" w:rsidRPr="000E7B53">
        <w:t xml:space="preserve">) </w:t>
      </w:r>
      <w:r w:rsidRPr="000E7B53">
        <w:rPr>
          <w:lang w:val="en-US"/>
        </w:rPr>
        <w:t>NL</w:t>
      </w:r>
      <w:r w:rsidRPr="000E7B53">
        <w:t>, Результат от инвестиций 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Pr="000E7B53">
        <w:t xml:space="preserve"> = П(У</w:t>
      </w:r>
      <w:r w:rsidR="000E7B53" w:rsidRPr="000E7B53">
        <w:t xml:space="preserve">) </w:t>
      </w:r>
      <w:r w:rsidRPr="000E7B53">
        <w:rPr>
          <w:lang w:val="en-US"/>
        </w:rPr>
        <w:t>I</w:t>
      </w:r>
      <w:r w:rsidRPr="000E7B53">
        <w:t xml:space="preserve"> </w:t>
      </w:r>
      <w:r w:rsidRPr="000E7B53">
        <w:rPr>
          <w:lang w:val="en-US"/>
        </w:rPr>
        <w:t>NL</w:t>
      </w:r>
      <w:r w:rsidRPr="000E7B53">
        <w:t>, Результат от прочей операционной деятельности, не связанной с инвестициями П(У</w:t>
      </w:r>
      <w:r w:rsidR="000E7B53" w:rsidRPr="000E7B53">
        <w:t xml:space="preserve">) </w:t>
      </w:r>
      <w:r w:rsidRPr="000E7B53">
        <w:t>О</w:t>
      </w:r>
      <w:r w:rsidR="000E7B53" w:rsidRPr="000E7B53">
        <w:t xml:space="preserve">, </w:t>
      </w:r>
      <w:r w:rsidRPr="000E7B53">
        <w:t>Результат внереализационных операций П(У</w:t>
      </w:r>
      <w:r w:rsidR="000E7B53" w:rsidRPr="000E7B53">
        <w:t xml:space="preserve">) </w:t>
      </w:r>
      <w:r w:rsidRPr="000E7B53">
        <w:t>В</w:t>
      </w:r>
      <w:r w:rsidR="000E7B53" w:rsidRPr="000E7B53">
        <w:t xml:space="preserve">, </w:t>
      </w:r>
      <w:r w:rsidRPr="000E7B53">
        <w:t>Прибыль до налогообложения</w:t>
      </w:r>
      <w:r w:rsidR="000E7B53" w:rsidRPr="000E7B53">
        <w:t xml:space="preserve"> </w:t>
      </w:r>
      <w:r w:rsidRPr="000E7B53">
        <w:t>П(У</w:t>
      </w:r>
      <w:r w:rsidR="000E7B53" w:rsidRPr="000E7B53">
        <w:t xml:space="preserve">) </w:t>
      </w:r>
      <w:r w:rsidRPr="000E7B53">
        <w:t>НО, Чистая (нераспределённая</w:t>
      </w:r>
      <w:r w:rsidR="000E7B53" w:rsidRPr="000E7B53">
        <w:t xml:space="preserve">) </w:t>
      </w:r>
      <w:r w:rsidRPr="000E7B53">
        <w:t>прибыль (убыток</w:t>
      </w:r>
      <w:r w:rsidR="000E7B53" w:rsidRPr="000E7B53">
        <w:t xml:space="preserve">) </w:t>
      </w:r>
      <w:r w:rsidRPr="000E7B53">
        <w:t>отчётного года П(У</w:t>
      </w:r>
      <w:r w:rsidR="000E7B53" w:rsidRPr="000E7B53">
        <w:t xml:space="preserve">) </w:t>
      </w:r>
      <w:r w:rsidRPr="000E7B53">
        <w:t>Ч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При проведении аналитического исследования прибыли страховой организации последовательность работ, по мнению автора методики, должна быть такова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1</w:t>
      </w:r>
      <w:r w:rsidR="000E7B53" w:rsidRPr="000E7B53">
        <w:t xml:space="preserve">. </w:t>
      </w:r>
      <w:r w:rsidRPr="000E7B53">
        <w:t>Оценка качества и достоверности исходной информации</w:t>
      </w:r>
      <w:r w:rsidR="000E7B53" w:rsidRPr="000E7B53">
        <w:t xml:space="preserve">: </w:t>
      </w:r>
    </w:p>
    <w:p w:rsidR="00573ACB" w:rsidRPr="000E7B53" w:rsidRDefault="000E7B53" w:rsidP="000E7B53">
      <w:pPr>
        <w:widowControl w:val="0"/>
        <w:autoSpaceDE w:val="0"/>
        <w:autoSpaceDN w:val="0"/>
        <w:adjustRightInd w:val="0"/>
        <w:ind w:firstLine="709"/>
      </w:pPr>
      <w:r>
        <w:t>1.1</w:t>
      </w:r>
      <w:r w:rsidR="00573ACB" w:rsidRPr="000E7B53">
        <w:t xml:space="preserve"> визуальная и простейшая счётная проверка информации отдельных источников</w:t>
      </w:r>
      <w:r w:rsidRPr="000E7B53">
        <w:t xml:space="preserve">; </w:t>
      </w:r>
    </w:p>
    <w:p w:rsidR="00573ACB" w:rsidRPr="000E7B53" w:rsidRDefault="000E7B53" w:rsidP="000E7B53">
      <w:pPr>
        <w:widowControl w:val="0"/>
        <w:autoSpaceDE w:val="0"/>
        <w:autoSpaceDN w:val="0"/>
        <w:adjustRightInd w:val="0"/>
        <w:ind w:firstLine="709"/>
      </w:pPr>
      <w:r>
        <w:t>1.2</w:t>
      </w:r>
      <w:r w:rsidR="00573ACB" w:rsidRPr="000E7B53">
        <w:t xml:space="preserve"> сопоставление информации разных источников, необходимые корректировки</w:t>
      </w:r>
      <w:r w:rsidRPr="000E7B53">
        <w:t xml:space="preserve">; </w:t>
      </w:r>
    </w:p>
    <w:p w:rsidR="00573ACB" w:rsidRPr="000E7B53" w:rsidRDefault="000E7B53" w:rsidP="000E7B53">
      <w:pPr>
        <w:widowControl w:val="0"/>
        <w:autoSpaceDE w:val="0"/>
        <w:autoSpaceDN w:val="0"/>
        <w:adjustRightInd w:val="0"/>
        <w:ind w:firstLine="709"/>
      </w:pPr>
      <w:r>
        <w:t>1.3</w:t>
      </w:r>
      <w:r w:rsidR="00573ACB" w:rsidRPr="000E7B53">
        <w:t xml:space="preserve"> определение существенности (несущественности</w:t>
      </w:r>
      <w:r w:rsidRPr="000E7B53">
        <w:t xml:space="preserve">) </w:t>
      </w:r>
      <w:r w:rsidR="00573ACB" w:rsidRPr="000E7B53">
        <w:t>выявленных несоответствий с точки зрения влияния на результаты анализа</w:t>
      </w:r>
      <w:r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2</w:t>
      </w:r>
      <w:r w:rsidR="000E7B53" w:rsidRPr="000E7B53">
        <w:t xml:space="preserve">. </w:t>
      </w:r>
      <w:r w:rsidRPr="000E7B53">
        <w:t>Выявление и при необходимости элиминирование влияния инфляции на финансовые результаты страховой организации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3</w:t>
      </w:r>
      <w:r w:rsidR="000E7B53" w:rsidRPr="000E7B53">
        <w:t xml:space="preserve">. </w:t>
      </w:r>
      <w:r w:rsidRPr="000E7B53">
        <w:t>Оценка фактического выполнения прогнозного отчёта о прибылях и убытках в рамках оперативного бюджета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4</w:t>
      </w:r>
      <w:r w:rsidR="000E7B53" w:rsidRPr="000E7B53">
        <w:t xml:space="preserve">. </w:t>
      </w:r>
      <w:r w:rsidRPr="000E7B53">
        <w:t>Анализ величины и динамики показателей прибыли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5</w:t>
      </w:r>
      <w:r w:rsidR="000E7B53" w:rsidRPr="000E7B53">
        <w:t xml:space="preserve">. </w:t>
      </w:r>
      <w:r w:rsidRPr="000E7B53">
        <w:t>Анализ структуры прибыли до налогообложения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6</w:t>
      </w:r>
      <w:r w:rsidR="000E7B53" w:rsidRPr="000E7B53">
        <w:t xml:space="preserve">. </w:t>
      </w:r>
      <w:r w:rsidRPr="000E7B53">
        <w:t>Изучение</w:t>
      </w:r>
      <w:r w:rsidR="000E7B53" w:rsidRPr="000E7B53">
        <w:t xml:space="preserve"> </w:t>
      </w:r>
      <w:r w:rsidRPr="000E7B53">
        <w:t>составляющих</w:t>
      </w:r>
      <w:r w:rsidR="000E7B53" w:rsidRPr="000E7B53">
        <w:t xml:space="preserve"> </w:t>
      </w:r>
      <w:r w:rsidRPr="000E7B53">
        <w:t>прибыли до налогообложения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.1</w:t>
      </w:r>
      <w:r w:rsidRPr="000E7B53">
        <w:t xml:space="preserve"> анализ прибыли от страховой деятельности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.1.1</w:t>
      </w:r>
      <w:r w:rsidRPr="000E7B53">
        <w:t xml:space="preserve"> анализ динамики и структуры</w:t>
      </w:r>
      <w:r w:rsidR="000E7B53" w:rsidRPr="000E7B53">
        <w:t xml:space="preserve"> </w:t>
      </w:r>
      <w:r w:rsidRPr="000E7B53">
        <w:t>прибыли от страховой деятельности по функциям, отраслям и видам страхования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.1.2</w:t>
      </w:r>
      <w:r w:rsidRPr="000E7B53">
        <w:t xml:space="preserve"> анализ доходов по функциям, отраслям и видам страхования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.1.3</w:t>
      </w:r>
      <w:r w:rsidRPr="000E7B53">
        <w:t xml:space="preserve"> анализ расходов по функциям, отраслям и видам страхования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.1.4</w:t>
      </w:r>
      <w:r w:rsidRPr="000E7B53">
        <w:t xml:space="preserve"> факторный анализ</w:t>
      </w:r>
      <w:r w:rsidR="000E7B53" w:rsidRPr="000E7B53">
        <w:t xml:space="preserve"> </w:t>
      </w:r>
      <w:r w:rsidRPr="000E7B53">
        <w:t>прибыли от страховой деятельности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.2</w:t>
      </w:r>
      <w:r w:rsidRPr="000E7B53">
        <w:t xml:space="preserve"> анализ прибыли от</w:t>
      </w:r>
      <w:r w:rsidR="000E7B53" w:rsidRPr="000E7B53">
        <w:t xml:space="preserve"> </w:t>
      </w:r>
      <w:r w:rsidRPr="000E7B53">
        <w:t>инвестиций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.2.1</w:t>
      </w:r>
      <w:r w:rsidRPr="000E7B53">
        <w:t xml:space="preserve"> анализ структуры прибыли от инвестиций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.2.2</w:t>
      </w:r>
      <w:r w:rsidRPr="000E7B53">
        <w:t xml:space="preserve"> анализ прибыли от инвестирования резервов по страхованию жизни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.2.3</w:t>
      </w:r>
      <w:r w:rsidRPr="000E7B53">
        <w:t xml:space="preserve"> анализ прибыли от прочих инвестиций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.3</w:t>
      </w:r>
      <w:r w:rsidRPr="000E7B53">
        <w:t xml:space="preserve"> анализ управленческих расходов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.4</w:t>
      </w:r>
      <w:r w:rsidRPr="000E7B53">
        <w:t xml:space="preserve"> анализ прочих операционных результатов деятельности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6</w:t>
      </w:r>
      <w:r w:rsidR="000E7B53">
        <w:t>.5</w:t>
      </w:r>
      <w:r w:rsidRPr="000E7B53">
        <w:t xml:space="preserve"> анализ сальдо внереализационных доходов и расходов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7</w:t>
      </w:r>
      <w:r w:rsidR="000E7B53" w:rsidRPr="000E7B53">
        <w:t xml:space="preserve">. </w:t>
      </w:r>
      <w:r w:rsidRPr="000E7B53">
        <w:t>Оценка чрезвычайных доходов и расходов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8</w:t>
      </w:r>
      <w:r w:rsidR="000E7B53" w:rsidRPr="000E7B53">
        <w:t xml:space="preserve">. </w:t>
      </w:r>
      <w:r w:rsidRPr="000E7B53">
        <w:t>Анализ распределения и использования</w:t>
      </w:r>
      <w:r w:rsidR="000E7B53" w:rsidRPr="000E7B53">
        <w:t xml:space="preserve"> </w:t>
      </w:r>
      <w:r w:rsidRPr="000E7B53">
        <w:t>прибыли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9</w:t>
      </w:r>
      <w:r w:rsidR="000E7B53" w:rsidRPr="000E7B53">
        <w:t xml:space="preserve">. </w:t>
      </w:r>
      <w:r w:rsidRPr="000E7B53">
        <w:t>Оценка относительных показателей результативности деятельности страховщика</w:t>
      </w:r>
      <w:r w:rsidR="000E7B53" w:rsidRPr="000E7B53">
        <w:t xml:space="preserve">: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9</w:t>
      </w:r>
      <w:r w:rsidR="000E7B53">
        <w:t>.1</w:t>
      </w:r>
      <w:r w:rsidRPr="000E7B53">
        <w:t xml:space="preserve"> анализ (в том числе факторный</w:t>
      </w:r>
      <w:r w:rsidR="000E7B53" w:rsidRPr="000E7B53">
        <w:t xml:space="preserve">) </w:t>
      </w:r>
      <w:r w:rsidRPr="000E7B53">
        <w:t>убыточности страховой суммы</w:t>
      </w:r>
      <w:r w:rsidR="000E7B53" w:rsidRPr="000E7B53">
        <w:t xml:space="preserve">;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9</w:t>
      </w:r>
      <w:r w:rsidR="000E7B53">
        <w:t>.2</w:t>
      </w:r>
      <w:r w:rsidRPr="000E7B53">
        <w:t xml:space="preserve"> анализ рентабельности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10</w:t>
      </w:r>
      <w:r w:rsidR="000E7B53" w:rsidRPr="000E7B53">
        <w:t xml:space="preserve">. </w:t>
      </w:r>
      <w:r w:rsidRPr="000E7B53">
        <w:t xml:space="preserve">Анализ </w:t>
      </w:r>
      <w:r w:rsidR="000E7B53" w:rsidRPr="000E7B53">
        <w:t>"</w:t>
      </w:r>
      <w:r w:rsidRPr="000E7B53">
        <w:t>качества</w:t>
      </w:r>
      <w:r w:rsidR="000E7B53" w:rsidRPr="000E7B53">
        <w:t>"</w:t>
      </w:r>
      <w:r w:rsidRPr="000E7B53">
        <w:t xml:space="preserve"> прибыли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Этап 11</w:t>
      </w:r>
      <w:r w:rsidR="000E7B53" w:rsidRPr="000E7B53">
        <w:t xml:space="preserve">. </w:t>
      </w:r>
      <w:r w:rsidRPr="000E7B53">
        <w:t>Выявление резервов роста прибыли и рентабельности, снижения убыточности</w:t>
      </w:r>
      <w:r w:rsidR="000E7B53" w:rsidRPr="000E7B53">
        <w:t xml:space="preserve">; </w:t>
      </w:r>
      <w:r w:rsidRPr="000E7B53">
        <w:t>разработка мероприятий по их освоению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Периодичность проведения анализа будет определяться для каждой конкретной страховой организации индивидуально по следующему принципу</w:t>
      </w:r>
      <w:r w:rsidR="000E7B53" w:rsidRPr="000E7B53">
        <w:t xml:space="preserve">: </w:t>
      </w:r>
      <w:r w:rsidRPr="000E7B53">
        <w:t>минимально возможный временной интервал, обеспечивающий аналитичность</w:t>
      </w:r>
      <w:r w:rsidR="000E7B53" w:rsidRPr="000E7B53">
        <w:t xml:space="preserve">. </w:t>
      </w:r>
    </w:p>
    <w:p w:rsidR="00573ACB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каждого этапа работы наиболее уместен какой-либо конкретный способ изучения объекта, поэтому определение способов исследования тесно свя-ано с перечнем процедур, которые предполагается провести (табл</w:t>
      </w:r>
      <w:r w:rsidR="000E7B53">
        <w:t>.1</w:t>
      </w:r>
      <w:r w:rsidR="000E7B53" w:rsidRPr="000E7B53">
        <w:t xml:space="preserve">).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A91D81" w:rsidRPr="000E7B53" w:rsidRDefault="00573ACB" w:rsidP="000E7B53">
      <w:pPr>
        <w:widowControl w:val="0"/>
        <w:autoSpaceDE w:val="0"/>
        <w:autoSpaceDN w:val="0"/>
        <w:adjustRightInd w:val="0"/>
        <w:ind w:firstLine="709"/>
      </w:pPr>
      <w:r w:rsidRPr="000E7B53">
        <w:t>Таблица 1</w:t>
      </w:r>
      <w:r w:rsidR="000E7B53" w:rsidRPr="000E7B53">
        <w:t xml:space="preserve">. </w:t>
      </w:r>
      <w:r w:rsidR="00B81582" w:rsidRPr="000E7B53">
        <w:t>Применяемые методы, приёмы и способы анализа финансовых результатов по этапам аналитических работ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720"/>
        <w:gridCol w:w="720"/>
        <w:gridCol w:w="720"/>
        <w:gridCol w:w="540"/>
        <w:gridCol w:w="540"/>
        <w:gridCol w:w="540"/>
        <w:gridCol w:w="1620"/>
        <w:gridCol w:w="540"/>
        <w:gridCol w:w="720"/>
        <w:gridCol w:w="720"/>
        <w:gridCol w:w="720"/>
      </w:tblGrid>
      <w:tr w:rsidR="00B81582" w:rsidRPr="000E7B53">
        <w:trPr>
          <w:cantSplit/>
          <w:jc w:val="center"/>
        </w:trPr>
        <w:tc>
          <w:tcPr>
            <w:tcW w:w="94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B53" w:rsidRDefault="000E7B53" w:rsidP="00F653D7">
            <w:pPr>
              <w:pStyle w:val="afb"/>
            </w:pPr>
          </w:p>
          <w:p w:rsidR="000E7B53" w:rsidRDefault="00B81582" w:rsidP="00F653D7">
            <w:pPr>
              <w:pStyle w:val="afb"/>
            </w:pPr>
            <w:r w:rsidRPr="000E7B53">
              <w:t>Этапы</w:t>
            </w:r>
            <w:r w:rsidR="000E7B53" w:rsidRPr="000E7B53">
              <w:t xml:space="preserve"> </w:t>
            </w:r>
            <w:r w:rsidRPr="000E7B53">
              <w:t>анализа</w:t>
            </w:r>
          </w:p>
          <w:p w:rsidR="00B81582" w:rsidRPr="000E7B53" w:rsidRDefault="00B81582" w:rsidP="00F653D7">
            <w:pPr>
              <w:pStyle w:val="afb"/>
            </w:pPr>
          </w:p>
        </w:tc>
        <w:tc>
          <w:tcPr>
            <w:tcW w:w="81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Применяемые приемы, способы</w:t>
            </w:r>
            <w:r w:rsidR="000E7B53" w:rsidRPr="000E7B53">
              <w:t xml:space="preserve"> </w:t>
            </w:r>
            <w:r w:rsidRPr="000E7B53">
              <w:t>и методы</w:t>
            </w:r>
          </w:p>
        </w:tc>
      </w:tr>
      <w:tr w:rsidR="00B81582" w:rsidRPr="000E7B53">
        <w:trPr>
          <w:cantSplit/>
          <w:jc w:val="center"/>
        </w:trPr>
        <w:tc>
          <w:tcPr>
            <w:tcW w:w="9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2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Методы проверки и соответствия</w:t>
            </w:r>
          </w:p>
        </w:tc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Расчётные методы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Эвристические методы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Вспомогательные методы представления</w:t>
            </w:r>
          </w:p>
        </w:tc>
      </w:tr>
      <w:tr w:rsidR="00B81582" w:rsidRPr="000E7B53">
        <w:trPr>
          <w:cantSplit/>
          <w:trHeight w:val="1842"/>
          <w:jc w:val="center"/>
        </w:trPr>
        <w:tc>
          <w:tcPr>
            <w:tcW w:w="94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E7B53" w:rsidRPr="000E7B53" w:rsidRDefault="000E7B53" w:rsidP="00F653D7">
            <w:pPr>
              <w:pStyle w:val="afb"/>
            </w:pPr>
          </w:p>
          <w:p w:rsidR="000E7B53" w:rsidRPr="000E7B53" w:rsidRDefault="00B81582" w:rsidP="00F653D7">
            <w:pPr>
              <w:pStyle w:val="afb"/>
            </w:pPr>
            <w:r w:rsidRPr="000E7B53">
              <w:t>Счётная проверка</w:t>
            </w:r>
          </w:p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Встречная проверка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Логическая проверка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Упорядочение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Сравнение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 xml:space="preserve"> Элиминирование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Другие</w:t>
            </w:r>
            <w:r w:rsidR="000E7B53" w:rsidRPr="000E7B53">
              <w:t xml:space="preserve"> </w:t>
            </w:r>
            <w:r w:rsidRPr="000E7B53">
              <w:t>статистические и экономико-математические методы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 xml:space="preserve">Оценочные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Оценочно-поисковые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 xml:space="preserve">Табличный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 xml:space="preserve">Графический 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Этап 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0E7B53" w:rsidP="00F653D7">
            <w:pPr>
              <w:pStyle w:val="afb"/>
            </w:pPr>
            <w:r>
              <w:t>1.1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0E7B53" w:rsidP="00F653D7">
            <w:pPr>
              <w:pStyle w:val="afb"/>
            </w:pPr>
            <w:r>
              <w:t>1.2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0E7B53" w:rsidP="00F653D7">
            <w:pPr>
              <w:pStyle w:val="afb"/>
            </w:pPr>
            <w:r>
              <w:t>1.3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.1.1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.1.2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.1.3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nil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.1.4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.2.1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.2.2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.2.3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6</w:t>
            </w:r>
            <w:r w:rsidR="000E7B53">
              <w:t>.5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9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9</w:t>
            </w:r>
            <w:r w:rsidR="000E7B53">
              <w:t>.1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9</w:t>
            </w:r>
            <w:r w:rsidR="000E7B53">
              <w:t>.2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  <w:tr w:rsidR="00B81582" w:rsidRPr="000E7B53">
        <w:trPr>
          <w:jc w:val="center"/>
        </w:trPr>
        <w:tc>
          <w:tcPr>
            <w:tcW w:w="9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82" w:rsidRPr="000E7B53" w:rsidRDefault="00B81582" w:rsidP="00F653D7">
            <w:pPr>
              <w:pStyle w:val="afb"/>
            </w:pPr>
            <w:r w:rsidRPr="000E7B53">
              <w:t>Этап 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81582" w:rsidRPr="000E7B53" w:rsidRDefault="00B81582" w:rsidP="00F653D7">
            <w:pPr>
              <w:pStyle w:val="afb"/>
            </w:pPr>
            <w:r w:rsidRPr="000E7B53">
              <w:t>+</w:t>
            </w:r>
          </w:p>
        </w:tc>
      </w:tr>
    </w:tbl>
    <w:p w:rsidR="00B81582" w:rsidRPr="000E7B53" w:rsidRDefault="00B81582" w:rsidP="000E7B5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573ACB" w:rsidRPr="000E7B53" w:rsidRDefault="00B81582" w:rsidP="000E7B5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0E7B53">
        <w:rPr>
          <w:color w:val="000000"/>
        </w:rPr>
        <w:t xml:space="preserve">В качестве источников данных для анализа могут использоваться сведения формы № 2-страховщик </w:t>
      </w:r>
      <w:r w:rsidR="000E7B53" w:rsidRPr="000E7B53">
        <w:rPr>
          <w:color w:val="000000"/>
        </w:rPr>
        <w:t>"</w:t>
      </w:r>
      <w:r w:rsidRPr="000E7B53">
        <w:rPr>
          <w:color w:val="000000"/>
        </w:rPr>
        <w:t>Отчёт о прибылях и убытках страховой организации</w:t>
      </w:r>
      <w:r w:rsidR="000E7B53" w:rsidRPr="000E7B53">
        <w:rPr>
          <w:color w:val="000000"/>
        </w:rPr>
        <w:t>"</w:t>
      </w:r>
      <w:r w:rsidRPr="000E7B53">
        <w:rPr>
          <w:color w:val="000000"/>
        </w:rPr>
        <w:t>, данные аналитического и синтетического учёта по финансово-результным счетам 91, 99, 84, регистры налогового учёта, а также плановая документация</w:t>
      </w:r>
      <w:r w:rsidR="000E7B53" w:rsidRPr="000E7B53">
        <w:rPr>
          <w:color w:val="000000"/>
        </w:rPr>
        <w:t xml:space="preserve">.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B81582" w:rsidRDefault="00B81582" w:rsidP="00F653D7">
      <w:pPr>
        <w:pStyle w:val="2"/>
      </w:pPr>
      <w:bookmarkStart w:id="8" w:name="_Toc229244996"/>
      <w:r w:rsidRPr="000E7B53">
        <w:t>5</w:t>
      </w:r>
      <w:r w:rsidR="000E7B53" w:rsidRPr="000E7B53">
        <w:t xml:space="preserve">. </w:t>
      </w:r>
      <w:r w:rsidRPr="000E7B53">
        <w:t>Коды аналитического учета финансовых результатов</w:t>
      </w:r>
      <w:bookmarkEnd w:id="8"/>
    </w:p>
    <w:p w:rsidR="00F653D7" w:rsidRPr="000E7B53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Разработаны коды аналитического учёта финансовых результатов (включающие позиции для отнесения к доходам, расходам</w:t>
      </w:r>
      <w:r w:rsidR="000E7B53" w:rsidRPr="000E7B53">
        <w:t xml:space="preserve"> </w:t>
      </w:r>
      <w:r w:rsidRPr="000E7B53">
        <w:t>или результатам, непосредственно связанным или не связанным со страховой деятельностью, по подотраслям и конкретным видам страхования</w:t>
      </w:r>
      <w:r w:rsidR="000E7B53" w:rsidRPr="000E7B53">
        <w:t>),</w:t>
      </w:r>
      <w:r w:rsidRPr="000E7B53">
        <w:t xml:space="preserve"> что позволило при соблюдении норм учёта, установленных в рамках законодательства, создать информационный модуль учёта финансовых результатов высокого уровня аналитичности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конкретной практической реализации методики, соприкосновения её теоретической и практической плоскостей необходимо формирование адекватной системы аналитического обеспечения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соответствии с Законом</w:t>
      </w:r>
      <w:r w:rsidR="000E7B53" w:rsidRPr="000E7B53">
        <w:t xml:space="preserve"> </w:t>
      </w:r>
      <w:r w:rsidRPr="000E7B53">
        <w:t>возрастания необходимого разнообразия и сложности систем, проблема совмещения таких характеристик, как упорядоченность и сложность, разнообразие и эффективность разрешается созданием малооперационных систем, модульным принципом формирования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Наиболее целесообразной формой организации системы аналитического обеспечения является модульное разделение по основным участкам учёта, формирующим информацию для конкретных направлений аналитической работы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В процессе декомпозиции модуля системы аналитического обеспечения анализа финансовых результатов страховой организации структурное и содержательное его наполнение определяется целевыми установками управления в целом и анализа в частности, которые формализуются в системе аналитических показателей и необходимы для формирования управленческих решений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На основе произведённой ранее классификации факторных показателей формирования финансовых результатов страховщиков разработаны коды аналитического учёта, которые позволят формировать информацию высокой степени аналитичности с точки зрения задач анализа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Для счёта финансовых результатов страховщика целесообразно использование сложного, как минимум восьмизначного кода, построенного с использованием комбинированной (смешанной</w:t>
      </w:r>
      <w:r w:rsidR="000E7B53" w:rsidRPr="000E7B53">
        <w:t xml:space="preserve">) </w:t>
      </w:r>
      <w:r w:rsidRPr="000E7B53">
        <w:t>системы кодирования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**</w:t>
      </w:r>
      <w:r w:rsidR="000E7B53" w:rsidRPr="000E7B53">
        <w:t xml:space="preserve">. </w:t>
      </w:r>
      <w:r w:rsidRPr="000E7B53">
        <w:t>*</w:t>
      </w:r>
      <w:r w:rsidR="000E7B53" w:rsidRPr="000E7B53">
        <w:t xml:space="preserve">. </w:t>
      </w:r>
      <w:r w:rsidRPr="000E7B53">
        <w:t>*</w:t>
      </w:r>
      <w:r w:rsidR="000E7B53" w:rsidRPr="000E7B53">
        <w:t xml:space="preserve">. </w:t>
      </w:r>
      <w:r w:rsidRPr="000E7B53">
        <w:t>**</w:t>
      </w:r>
      <w:r w:rsidR="000E7B53" w:rsidRPr="000E7B53">
        <w:t xml:space="preserve">. </w:t>
      </w:r>
      <w:r w:rsidRPr="000E7B53">
        <w:t>**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Первые два знака отведены для номера счёта, соответствующего предусмотренному в плане счетов</w:t>
      </w:r>
      <w:r w:rsidR="000E7B53" w:rsidRPr="000E7B53">
        <w:t xml:space="preserve">: </w:t>
      </w:r>
      <w:r w:rsidRPr="000E7B53">
        <w:t xml:space="preserve">99 </w:t>
      </w:r>
      <w:r w:rsidR="000E7B53" w:rsidRPr="000E7B53">
        <w:t>"</w:t>
      </w:r>
      <w:r w:rsidRPr="000E7B53">
        <w:t xml:space="preserve"> Прибыли и убытки</w:t>
      </w:r>
      <w:r w:rsidR="000E7B53" w:rsidRPr="000E7B53">
        <w:t xml:space="preserve">".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Далее один знак отведён для отнесения к доходам, расходам или результату</w:t>
      </w:r>
      <w:r w:rsidR="000E7B53" w:rsidRPr="000E7B53">
        <w:t xml:space="preserve">: </w:t>
      </w:r>
      <w:r w:rsidRPr="000E7B53">
        <w:t>1</w:t>
      </w:r>
      <w:r w:rsidR="000E7B53" w:rsidRPr="000E7B53">
        <w:t xml:space="preserve"> - </w:t>
      </w:r>
      <w:r w:rsidRPr="000E7B53">
        <w:t>доходы</w:t>
      </w:r>
      <w:r w:rsidR="000E7B53" w:rsidRPr="000E7B53">
        <w:t xml:space="preserve">; </w:t>
      </w:r>
      <w:r w:rsidRPr="000E7B53">
        <w:t>2</w:t>
      </w:r>
      <w:r w:rsidR="000E7B53" w:rsidRPr="000E7B53">
        <w:t xml:space="preserve"> - </w:t>
      </w:r>
      <w:r w:rsidRPr="000E7B53">
        <w:t>расходы</w:t>
      </w:r>
      <w:r w:rsidR="000E7B53" w:rsidRPr="000E7B53">
        <w:t xml:space="preserve">; </w:t>
      </w:r>
      <w:r w:rsidRPr="000E7B53">
        <w:t>9</w:t>
      </w:r>
      <w:r w:rsidR="000E7B53" w:rsidRPr="000E7B53">
        <w:t xml:space="preserve"> - </w:t>
      </w:r>
      <w:r w:rsidRPr="000E7B53">
        <w:t>результат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Следующий знак предусмотрен для деления доходов, расходов и результатов на основные, непосредственно связанные со страховой деятельностью (код</w:t>
      </w:r>
      <w:r w:rsidR="000E7B53" w:rsidRPr="000E7B53">
        <w:t xml:space="preserve"> - </w:t>
      </w:r>
      <w:r w:rsidRPr="000E7B53">
        <w:t>1</w:t>
      </w:r>
      <w:r w:rsidR="000E7B53" w:rsidRPr="000E7B53">
        <w:t xml:space="preserve">) </w:t>
      </w:r>
      <w:r w:rsidRPr="000E7B53">
        <w:t>и прочие, косвенно связанные и не связанные со страховой деятельностью (код</w:t>
      </w:r>
      <w:r w:rsidR="000E7B53" w:rsidRPr="000E7B53">
        <w:t xml:space="preserve"> - </w:t>
      </w:r>
      <w:r w:rsidRPr="000E7B53">
        <w:t>2</w:t>
      </w:r>
      <w:r w:rsidR="000E7B53" w:rsidRPr="000E7B53">
        <w:t xml:space="preserve">). </w:t>
      </w:r>
      <w:r w:rsidRPr="000E7B53">
        <w:t>Такой разрез даст возможность отслеживания результата от страховой деятельности, определение которого не предусмотрено в типовом плане счетов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Следующие два знака кода в соответствии с десятичным принципом отведены для отнесения к определённой группе или подгруппе доходов, расходов или результатов</w:t>
      </w:r>
      <w:r w:rsidR="000E7B53" w:rsidRPr="000E7B53">
        <w:t xml:space="preserve">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Последние две (или при необходимости, больше</w:t>
      </w:r>
      <w:r w:rsidR="000E7B53" w:rsidRPr="000E7B53">
        <w:t xml:space="preserve">) </w:t>
      </w:r>
      <w:r w:rsidRPr="000E7B53">
        <w:t>цифры кода предусматривают разделение по десятичному принципу в зависимости от специализации страховой организации (подотрасли и конкретные виды страхования</w:t>
      </w:r>
      <w:r w:rsidR="000E7B53" w:rsidRPr="000E7B53">
        <w:t xml:space="preserve">).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При использовании разработанной системы счета аналитического учёта для счёта 99</w:t>
      </w:r>
      <w:r w:rsidR="000E7B53" w:rsidRPr="000E7B53">
        <w:t xml:space="preserve"> </w:t>
      </w:r>
      <w:r w:rsidRPr="000E7B53">
        <w:t>имеют следующий вид</w:t>
      </w:r>
      <w:r w:rsidR="000E7B53" w:rsidRPr="000E7B53">
        <w:t xml:space="preserve">: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99</w:t>
      </w:r>
      <w:r w:rsidR="000E7B53">
        <w:t>.1</w:t>
      </w:r>
      <w:r w:rsidR="000E7B53" w:rsidRPr="000E7B53">
        <w:t>.</w:t>
      </w:r>
      <w:r w:rsidR="000E7B53">
        <w:t xml:space="preserve">1.10 </w:t>
      </w:r>
      <w:r w:rsidRPr="000E7B53">
        <w:t>10</w:t>
      </w:r>
      <w:r w:rsidR="000E7B53" w:rsidRPr="000E7B53">
        <w:t xml:space="preserve"> - </w:t>
      </w:r>
      <w:r w:rsidRPr="000E7B53">
        <w:t>доходы, непосредственно связанные со страховой деятельностью по основным договорам страхования жизни</w:t>
      </w:r>
      <w:r w:rsidR="000E7B53" w:rsidRPr="000E7B53">
        <w:t xml:space="preserve">;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99</w:t>
      </w:r>
      <w:r w:rsidR="000E7B53">
        <w:t xml:space="preserve">.2.1 </w:t>
      </w:r>
      <w:r w:rsidRPr="000E7B53">
        <w:t>10</w:t>
      </w:r>
      <w:r w:rsidR="000E7B53">
        <w:t xml:space="preserve">.20 </w:t>
      </w:r>
      <w:r w:rsidR="000E7B53" w:rsidRPr="000E7B53">
        <w:t xml:space="preserve">- </w:t>
      </w:r>
      <w:r w:rsidRPr="000E7B53">
        <w:t xml:space="preserve">расходы, непосредственно связанные со страховой деятельностью по основным договорам </w:t>
      </w:r>
      <w:r w:rsidR="003A3884" w:rsidRPr="000E7B53">
        <w:t>с</w:t>
      </w:r>
      <w:r w:rsidRPr="000E7B53">
        <w:t>трахования иного, чем страхование жизни</w:t>
      </w:r>
      <w:r w:rsidR="000E7B53" w:rsidRPr="000E7B53">
        <w:t xml:space="preserve">; </w:t>
      </w:r>
    </w:p>
    <w:p w:rsidR="000E7B53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>99</w:t>
      </w:r>
      <w:r w:rsidR="000E7B53">
        <w:t>.9.1.4</w:t>
      </w:r>
      <w:r w:rsidRPr="000E7B53">
        <w:t>0</w:t>
      </w:r>
      <w:r w:rsidR="000E7B53">
        <w:t xml:space="preserve">.20 </w:t>
      </w:r>
      <w:r w:rsidR="000E7B53" w:rsidRPr="000E7B53">
        <w:t xml:space="preserve">- </w:t>
      </w:r>
      <w:r w:rsidRPr="000E7B53">
        <w:t>результаты, непосредственно связанные со страховой деятельностью по договорам, переданным в перестрахование иное, чем страхование жизни</w:t>
      </w:r>
      <w:r w:rsidR="000E7B53" w:rsidRPr="000E7B53">
        <w:t xml:space="preserve">; </w:t>
      </w:r>
    </w:p>
    <w:p w:rsidR="00521A59" w:rsidRPr="000E7B53" w:rsidRDefault="00521A59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и </w:t>
      </w:r>
      <w:r w:rsidR="000E7B53">
        <w:t>т.п.</w:t>
      </w:r>
      <w:r w:rsidR="000E7B53" w:rsidRPr="000E7B53">
        <w:t xml:space="preserve"> </w:t>
      </w:r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5E6C27" w:rsidRDefault="003A3884" w:rsidP="00F653D7">
      <w:pPr>
        <w:pStyle w:val="2"/>
      </w:pPr>
      <w:bookmarkStart w:id="9" w:name="_Toc229244997"/>
      <w:r w:rsidRPr="000E7B53">
        <w:t>6</w:t>
      </w:r>
      <w:r w:rsidR="000E7B53" w:rsidRPr="000E7B53">
        <w:t xml:space="preserve">. </w:t>
      </w:r>
      <w:r w:rsidR="005E6C27" w:rsidRPr="000E7B53">
        <w:t>Проблемные аспекты в методиках анализа и аудита страховых организаций</w:t>
      </w:r>
      <w:bookmarkEnd w:id="9"/>
    </w:p>
    <w:p w:rsidR="00F653D7" w:rsidRPr="000E7B53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>Дальнейшее изучение научной литературы об особенностях уч</w:t>
      </w:r>
      <w:r w:rsidR="00B81582" w:rsidRPr="000E7B53">
        <w:t>ё</w:t>
      </w:r>
      <w:r w:rsidRPr="000E7B53">
        <w:t>та, анализа и аудита в страховых организациях выделило следующий проблемный аспект</w:t>
      </w:r>
      <w:r w:rsidR="000E7B53" w:rsidRPr="000E7B53">
        <w:t xml:space="preserve">: </w:t>
      </w:r>
    </w:p>
    <w:p w:rsidR="00C65954" w:rsidRPr="000E7B53" w:rsidRDefault="00C65954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Снижение </w:t>
      </w:r>
      <w:r w:rsidR="00DC1D20" w:rsidRPr="000E7B53">
        <w:t xml:space="preserve">степени </w:t>
      </w:r>
      <w:r w:rsidRPr="000E7B53">
        <w:t>аналитичности</w:t>
      </w:r>
      <w:r w:rsidR="00DC1D20" w:rsidRPr="000E7B53">
        <w:t xml:space="preserve"> информации, формируемой в учете и отчетности страховых организаций</w:t>
      </w:r>
      <w:r w:rsidR="000E7B53" w:rsidRPr="000E7B53">
        <w:t xml:space="preserve">. </w:t>
      </w:r>
    </w:p>
    <w:p w:rsidR="00C65954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Снижение аналитического параметра можно выделить за счет следующих разногласий в учете и отчетности</w:t>
      </w:r>
      <w:r w:rsidR="000E7B53" w:rsidRPr="000E7B53">
        <w:t xml:space="preserve">: </w:t>
      </w:r>
    </w:p>
    <w:p w:rsidR="00DC1D20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В синтетическом учёте по счетам основной деятельности формируется свёрнутая информация, которая без привлечения сведений аналитического учёта не даёт представления о разнородных по содержанию операциях, отражаемых на отдельных субсчетах в рамках одного счёта</w:t>
      </w:r>
      <w:r w:rsidR="000E7B53" w:rsidRPr="000E7B53">
        <w:t xml:space="preserve">; </w:t>
      </w:r>
    </w:p>
    <w:p w:rsidR="00DC1D20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Результаты от основной деятельности обособленно не определяются, а учитываются только при формировании общего финансового результата</w:t>
      </w:r>
      <w:r w:rsidR="000E7B53" w:rsidRPr="000E7B53">
        <w:t xml:space="preserve">; </w:t>
      </w:r>
    </w:p>
    <w:p w:rsidR="00DC1D20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Не совпадают аналитические разрезы, предусмотренные для отражения страховых операций в учёте и отчётности</w:t>
      </w:r>
      <w:r w:rsidR="000E7B53" w:rsidRPr="000E7B53">
        <w:t xml:space="preserve">. </w:t>
      </w:r>
      <w:r w:rsidRPr="000E7B53">
        <w:t>Кроме того, этих разрезов не достаточно для формирования частных результатов по отраслям, формам и видам страхования</w:t>
      </w:r>
      <w:r w:rsidR="000E7B53" w:rsidRPr="000E7B53">
        <w:t xml:space="preserve">; </w:t>
      </w:r>
    </w:p>
    <w:p w:rsidR="00DC1D20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Доходы и расходы от инвестирования средств резервов страхования жизни в учёте включаются в состав операционных, а в отчетности</w:t>
      </w:r>
      <w:r w:rsidR="000E7B53" w:rsidRPr="000E7B53">
        <w:t xml:space="preserve"> - </w:t>
      </w:r>
      <w:r w:rsidRPr="000E7B53">
        <w:t>формируют результат от операций страхования жизни</w:t>
      </w:r>
      <w:r w:rsidR="000E7B53" w:rsidRPr="000E7B53">
        <w:t xml:space="preserve">. </w:t>
      </w:r>
    </w:p>
    <w:p w:rsidR="00C65954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>Устранение этих причин позволит повысить уровень аналитичности учётной системы</w:t>
      </w:r>
      <w:r w:rsidR="000E7B53" w:rsidRPr="000E7B53">
        <w:t xml:space="preserve">. </w:t>
      </w:r>
    </w:p>
    <w:p w:rsidR="005E6C27" w:rsidRPr="000E7B53" w:rsidRDefault="00F653D7" w:rsidP="00F653D7">
      <w:pPr>
        <w:pStyle w:val="2"/>
      </w:pPr>
      <w:r>
        <w:br w:type="page"/>
      </w:r>
      <w:bookmarkStart w:id="10" w:name="_Toc229244998"/>
      <w:r w:rsidR="005E6C27" w:rsidRPr="000E7B53">
        <w:t>Заключение</w:t>
      </w:r>
      <w:bookmarkEnd w:id="10"/>
    </w:p>
    <w:p w:rsidR="00F653D7" w:rsidRDefault="00F653D7" w:rsidP="000E7B53">
      <w:pPr>
        <w:widowControl w:val="0"/>
        <w:autoSpaceDE w:val="0"/>
        <w:autoSpaceDN w:val="0"/>
        <w:adjustRightInd w:val="0"/>
        <w:ind w:firstLine="709"/>
      </w:pPr>
    </w:p>
    <w:p w:rsidR="00DC1D20" w:rsidRPr="000E7B53" w:rsidRDefault="00DC1D20" w:rsidP="000E7B53">
      <w:pPr>
        <w:widowControl w:val="0"/>
        <w:autoSpaceDE w:val="0"/>
        <w:autoSpaceDN w:val="0"/>
        <w:adjustRightInd w:val="0"/>
        <w:ind w:firstLine="709"/>
      </w:pPr>
      <w:r w:rsidRPr="000E7B53">
        <w:t xml:space="preserve">Фактически, на сегодняшний день можно говорить лишь о теоретических аспектах в анализе и аудите страховых организаций, </w:t>
      </w:r>
      <w:r w:rsidR="000E7B53">
        <w:t>т.к</w:t>
      </w:r>
      <w:r w:rsidR="000E7B53" w:rsidRPr="000E7B53">
        <w:t xml:space="preserve"> </w:t>
      </w:r>
      <w:r w:rsidRPr="000E7B53">
        <w:t>существует ряд различных методик, оформленных в научных диссертациях, но не обладающих официально признанными критериями</w:t>
      </w:r>
      <w:r w:rsidR="000E7B53" w:rsidRPr="000E7B53">
        <w:t xml:space="preserve">. </w:t>
      </w:r>
      <w:r w:rsidR="004060F2" w:rsidRPr="000E7B53">
        <w:t xml:space="preserve">Насколько мне известно, в настоящее время существует лишь один учебник по предмету </w:t>
      </w:r>
      <w:r w:rsidR="000E7B53" w:rsidRPr="000E7B53">
        <w:t>"</w:t>
      </w:r>
      <w:r w:rsidR="004060F2" w:rsidRPr="000E7B53">
        <w:t>Анализ и аудит в страховых организациях</w:t>
      </w:r>
      <w:r w:rsidR="000E7B53" w:rsidRPr="000E7B53">
        <w:t>"</w:t>
      </w:r>
      <w:r w:rsidR="004060F2" w:rsidRPr="000E7B53">
        <w:t xml:space="preserve"> 2008 года издания, но ввиду широкого разнообразия и возможностей различных методик трудно утверждать, что этот учебник оправдает надежды будущего аудитора</w:t>
      </w:r>
      <w:r w:rsidR="000E7B53" w:rsidRPr="000E7B53">
        <w:t xml:space="preserve">. </w:t>
      </w:r>
    </w:p>
    <w:p w:rsidR="00DC1D20" w:rsidRPr="000E7B53" w:rsidRDefault="00526BB7" w:rsidP="000E7B53">
      <w:pPr>
        <w:widowControl w:val="0"/>
        <w:autoSpaceDE w:val="0"/>
        <w:autoSpaceDN w:val="0"/>
        <w:adjustRightInd w:val="0"/>
        <w:ind w:firstLine="709"/>
      </w:pPr>
      <w:r w:rsidRPr="000E7B53">
        <w:t>Подобным</w:t>
      </w:r>
      <w:r w:rsidR="004060F2" w:rsidRPr="000E7B53">
        <w:t xml:space="preserve"> образом можно привести методики, официально признанные и Законом, и Аудитором</w:t>
      </w:r>
      <w:r w:rsidRPr="000E7B53">
        <w:t>,</w:t>
      </w:r>
      <w:r w:rsidR="004060F2" w:rsidRPr="000E7B53">
        <w:t xml:space="preserve"> и Страховой организацией</w:t>
      </w:r>
      <w:r w:rsidR="000E7B53" w:rsidRPr="000E7B53">
        <w:t xml:space="preserve">. </w:t>
      </w:r>
      <w:r w:rsidR="004060F2" w:rsidRPr="000E7B53">
        <w:t>Но это не будет объективным отражением реальности на текущий период времени</w:t>
      </w:r>
      <w:r w:rsidR="000E7B53" w:rsidRPr="000E7B53">
        <w:t xml:space="preserve">. </w:t>
      </w:r>
    </w:p>
    <w:p w:rsidR="000E7B53" w:rsidRPr="000E7B53" w:rsidRDefault="004060F2" w:rsidP="000E7B53">
      <w:pPr>
        <w:widowControl w:val="0"/>
        <w:autoSpaceDE w:val="0"/>
        <w:autoSpaceDN w:val="0"/>
        <w:adjustRightInd w:val="0"/>
        <w:ind w:firstLine="709"/>
      </w:pPr>
      <w:r w:rsidRPr="000E7B53">
        <w:t>На мой взгляд</w:t>
      </w:r>
      <w:r w:rsidR="00526BB7" w:rsidRPr="000E7B53">
        <w:t>,</w:t>
      </w:r>
      <w:r w:rsidRPr="000E7B53">
        <w:t xml:space="preserve"> аудитор</w:t>
      </w:r>
      <w:r w:rsidR="000E7B53" w:rsidRPr="000E7B53">
        <w:t xml:space="preserve"> - </w:t>
      </w:r>
      <w:r w:rsidRPr="000E7B53">
        <w:t>это повзрослевший бухгалтер, который может с большой точностью проводить комплексный анализ в любой сфере деятельности</w:t>
      </w:r>
      <w:r w:rsidR="00526BB7" w:rsidRPr="000E7B53">
        <w:t xml:space="preserve"> любой</w:t>
      </w:r>
      <w:r w:rsidRPr="000E7B53">
        <w:t xml:space="preserve"> </w:t>
      </w:r>
      <w:r w:rsidR="00526BB7" w:rsidRPr="000E7B53">
        <w:t>организации</w:t>
      </w:r>
      <w:r w:rsidRPr="000E7B53">
        <w:t xml:space="preserve"> на любой период времени, указывать на ошибки, предлагать пути их исправления</w:t>
      </w:r>
      <w:r w:rsidR="000E7B53">
        <w:t>.</w:t>
      </w:r>
      <w:r w:rsidR="00CF2555">
        <w:t xml:space="preserve"> Т.</w:t>
      </w:r>
      <w:r w:rsidRPr="000E7B53">
        <w:t>е</w:t>
      </w:r>
      <w:r w:rsidR="000E7B53" w:rsidRPr="000E7B53">
        <w:t xml:space="preserve">. </w:t>
      </w:r>
      <w:r w:rsidRPr="000E7B53">
        <w:t>результат его деятельности</w:t>
      </w:r>
      <w:r w:rsidR="000E7B53" w:rsidRPr="000E7B53">
        <w:t xml:space="preserve"> - </w:t>
      </w:r>
      <w:r w:rsidRPr="000E7B53">
        <w:t xml:space="preserve">это не просто совокупность </w:t>
      </w:r>
      <w:r w:rsidR="003F5CB1" w:rsidRPr="000E7B53">
        <w:t>М</w:t>
      </w:r>
      <w:r w:rsidRPr="000E7B53">
        <w:t xml:space="preserve">атематики и </w:t>
      </w:r>
      <w:r w:rsidR="003F5CB1" w:rsidRPr="000E7B53">
        <w:t>З</w:t>
      </w:r>
      <w:r w:rsidRPr="000E7B53">
        <w:t xml:space="preserve">акона, это </w:t>
      </w:r>
      <w:r w:rsidR="006E73EF" w:rsidRPr="000E7B53">
        <w:t xml:space="preserve">еще и </w:t>
      </w:r>
      <w:r w:rsidRPr="000E7B53">
        <w:t xml:space="preserve">практика, подтвержденная и </w:t>
      </w:r>
      <w:r w:rsidR="002E623E" w:rsidRPr="000E7B53">
        <w:t>З</w:t>
      </w:r>
      <w:r w:rsidRPr="000E7B53">
        <w:t>аконом</w:t>
      </w:r>
      <w:r w:rsidR="00526BB7" w:rsidRPr="000E7B53">
        <w:t>,</w:t>
      </w:r>
      <w:r w:rsidRPr="000E7B53">
        <w:t xml:space="preserve"> и </w:t>
      </w:r>
      <w:r w:rsidR="002E623E" w:rsidRPr="000E7B53">
        <w:t>М</w:t>
      </w:r>
      <w:r w:rsidRPr="000E7B53">
        <w:t>атематикой</w:t>
      </w:r>
      <w:r w:rsidR="000E7B53" w:rsidRPr="000E7B53">
        <w:t xml:space="preserve">. </w:t>
      </w:r>
      <w:r w:rsidRPr="000E7B53">
        <w:t>А любая практика</w:t>
      </w:r>
      <w:r w:rsidR="000E7B53" w:rsidRPr="000E7B53">
        <w:t xml:space="preserve"> - </w:t>
      </w:r>
      <w:r w:rsidRPr="000E7B53">
        <w:t>это время</w:t>
      </w:r>
      <w:r w:rsidR="000E7B53" w:rsidRPr="000E7B53">
        <w:t xml:space="preserve">. </w:t>
      </w:r>
      <w:r w:rsidRPr="000E7B53">
        <w:t>На сегодняшний день (после ряда международных аудиторских скандалов</w:t>
      </w:r>
      <w:r w:rsidR="000E7B53" w:rsidRPr="000E7B53">
        <w:t xml:space="preserve">) </w:t>
      </w:r>
      <w:r w:rsidRPr="000E7B53">
        <w:t>вера в аудитора подорвана</w:t>
      </w:r>
      <w:r w:rsidR="000E7B53" w:rsidRPr="000E7B53">
        <w:t xml:space="preserve">. </w:t>
      </w:r>
      <w:r w:rsidRPr="000E7B53">
        <w:t>Современные методы анализа не предполагают создания оптимального пути решения</w:t>
      </w:r>
      <w:r w:rsidR="000E7B53" w:rsidRPr="000E7B53">
        <w:t xml:space="preserve"> - </w:t>
      </w:r>
      <w:r w:rsidRPr="000E7B53">
        <w:t>ведь это, по сути</w:t>
      </w:r>
      <w:r w:rsidR="006E73EF" w:rsidRPr="000E7B53">
        <w:t>,</w:t>
      </w:r>
      <w:r w:rsidRPr="000E7B53">
        <w:t xml:space="preserve"> затрагивает Закон (который в ряде случаев весьма запутан и туманен и не пре</w:t>
      </w:r>
      <w:r w:rsidR="00534534" w:rsidRPr="000E7B53">
        <w:t>д</w:t>
      </w:r>
      <w:r w:rsidRPr="000E7B53">
        <w:t>лагает пути отступления</w:t>
      </w:r>
      <w:r w:rsidR="00534534" w:rsidRPr="000E7B53">
        <w:t xml:space="preserve"> для</w:t>
      </w:r>
      <w:r w:rsidRPr="000E7B53">
        <w:t xml:space="preserve"> экономического субъекта</w:t>
      </w:r>
      <w:r w:rsidR="000E7B53" w:rsidRPr="000E7B53">
        <w:t xml:space="preserve">). </w:t>
      </w:r>
    </w:p>
    <w:p w:rsidR="003A3884" w:rsidRDefault="003A3884" w:rsidP="00F653D7">
      <w:pPr>
        <w:pStyle w:val="2"/>
      </w:pPr>
      <w:r w:rsidRPr="000E7B53">
        <w:br w:type="page"/>
      </w:r>
      <w:bookmarkStart w:id="11" w:name="_Toc229244999"/>
      <w:r w:rsidRPr="000E7B53">
        <w:t xml:space="preserve">Список </w:t>
      </w:r>
      <w:r w:rsidR="00AC4E9A" w:rsidRPr="000E7B53">
        <w:t>источников</w:t>
      </w:r>
      <w:bookmarkEnd w:id="11"/>
    </w:p>
    <w:p w:rsidR="00F653D7" w:rsidRPr="00F653D7" w:rsidRDefault="00F653D7" w:rsidP="00F653D7"/>
    <w:p w:rsidR="00AC4E9A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1</w:t>
      </w:r>
      <w:r w:rsidR="000E7B53" w:rsidRPr="000E7B53">
        <w:t xml:space="preserve">. </w:t>
      </w:r>
      <w:r w:rsidR="00AC4E9A" w:rsidRPr="000E7B53">
        <w:t xml:space="preserve">Информационно поисковая система </w:t>
      </w:r>
      <w:r w:rsidR="00AC4E9A" w:rsidRPr="008B4113">
        <w:rPr>
          <w:lang w:val="en-US"/>
        </w:rPr>
        <w:t>www</w:t>
      </w:r>
      <w:r w:rsidR="000E7B53" w:rsidRPr="008B4113">
        <w:t xml:space="preserve">. </w:t>
      </w:r>
      <w:r w:rsidR="00AC4E9A" w:rsidRPr="008B4113">
        <w:rPr>
          <w:lang w:val="en-US"/>
        </w:rPr>
        <w:t>rambler</w:t>
      </w:r>
      <w:r w:rsidR="000E7B53" w:rsidRPr="008B4113">
        <w:t xml:space="preserve">. </w:t>
      </w:r>
      <w:r w:rsidR="00AC4E9A" w:rsidRPr="008B4113">
        <w:rPr>
          <w:lang w:val="en-US"/>
        </w:rPr>
        <w:t>ru</w:t>
      </w:r>
      <w:r w:rsidR="000E7B53" w:rsidRPr="000E7B53">
        <w:t xml:space="preserve">: </w:t>
      </w:r>
      <w:r w:rsidR="00AC4E9A" w:rsidRPr="000E7B53">
        <w:t>Соловьева О</w:t>
      </w:r>
      <w:r w:rsidR="000E7B53">
        <w:t xml:space="preserve">.В. </w:t>
      </w:r>
      <w:r w:rsidR="00AC4E9A" w:rsidRPr="000E7B53">
        <w:t>Автореферат диссертации на соискание научной степени к</w:t>
      </w:r>
      <w:r w:rsidR="000E7B53" w:rsidRPr="000E7B53">
        <w:t xml:space="preserve">. </w:t>
      </w:r>
      <w:r w:rsidR="00AC4E9A" w:rsidRPr="000E7B53">
        <w:t>э</w:t>
      </w:r>
      <w:r w:rsidR="000E7B53" w:rsidRPr="000E7B53">
        <w:t xml:space="preserve">. </w:t>
      </w:r>
      <w:r w:rsidR="00AC4E9A" w:rsidRPr="000E7B53">
        <w:t>н</w:t>
      </w:r>
      <w:r w:rsidR="000E7B53" w:rsidRPr="000E7B53">
        <w:t>. "</w:t>
      </w:r>
      <w:r w:rsidR="00AC4E9A" w:rsidRPr="000E7B53">
        <w:t>Разработка методов комплексного анализа прибыли страховой организации</w:t>
      </w:r>
      <w:r w:rsidR="000E7B53" w:rsidRPr="000E7B53">
        <w:t>"</w:t>
      </w:r>
      <w:r w:rsidR="00AC4E9A" w:rsidRPr="000E7B53">
        <w:t xml:space="preserve"> (на правах рукописи</w:t>
      </w:r>
      <w:r w:rsidR="000E7B53" w:rsidRPr="000E7B53">
        <w:t xml:space="preserve">) </w:t>
      </w:r>
      <w:r w:rsidR="00AC4E9A" w:rsidRPr="000E7B53">
        <w:t>Южно-Уральский государственный университет, Пермь 2006</w:t>
      </w:r>
      <w:r w:rsidR="000E7B53" w:rsidRPr="000E7B53">
        <w:t xml:space="preserve">. </w:t>
      </w:r>
    </w:p>
    <w:p w:rsidR="00DC1D20" w:rsidRPr="000E7B53" w:rsidRDefault="00AC4E9A" w:rsidP="00F653D7">
      <w:pPr>
        <w:widowControl w:val="0"/>
        <w:autoSpaceDE w:val="0"/>
        <w:autoSpaceDN w:val="0"/>
        <w:adjustRightInd w:val="0"/>
        <w:ind w:firstLine="0"/>
      </w:pPr>
      <w:r w:rsidRPr="000E7B53">
        <w:t>2</w:t>
      </w:r>
      <w:r w:rsidR="000E7B53" w:rsidRPr="000E7B53">
        <w:t xml:space="preserve">. </w:t>
      </w:r>
      <w:r w:rsidRPr="000E7B53">
        <w:t>Действующее Законодательство</w:t>
      </w:r>
      <w:r w:rsidR="00534534" w:rsidRPr="000E7B53">
        <w:t xml:space="preserve"> </w:t>
      </w:r>
      <w:r w:rsidRPr="000E7B53">
        <w:t xml:space="preserve">(информационная система </w:t>
      </w:r>
      <w:r w:rsidR="000E7B53" w:rsidRPr="000E7B53">
        <w:t>"</w:t>
      </w:r>
      <w:r w:rsidRPr="000E7B53">
        <w:t>ГАРАНТ</w:t>
      </w:r>
      <w:r w:rsidR="000E7B53" w:rsidRPr="000E7B53">
        <w:t xml:space="preserve">")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3</w:t>
      </w:r>
      <w:r w:rsidR="000E7B53" w:rsidRPr="000E7B53">
        <w:t>.</w:t>
      </w:r>
      <w:r w:rsidR="000E7B53">
        <w:t xml:space="preserve"> </w:t>
      </w:r>
      <w:r w:rsidRPr="000E7B53">
        <w:t>Болюх М</w:t>
      </w:r>
      <w:r w:rsidR="000E7B53">
        <w:t xml:space="preserve">.А. </w:t>
      </w:r>
      <w:r w:rsidRPr="000E7B53">
        <w:t>Экономический анализ</w:t>
      </w:r>
      <w:r w:rsidR="000E7B53" w:rsidRPr="000E7B53">
        <w:t xml:space="preserve">. </w:t>
      </w:r>
      <w:r w:rsidRPr="000E7B53">
        <w:t>Учебное пособие</w:t>
      </w:r>
      <w:r w:rsidR="000E7B53" w:rsidRPr="000E7B53">
        <w:t xml:space="preserve">. </w:t>
      </w:r>
      <w:r w:rsidRPr="000E7B53">
        <w:t>К</w:t>
      </w:r>
      <w:r w:rsidR="000E7B53" w:rsidRPr="000E7B53">
        <w:t xml:space="preserve">.: </w:t>
      </w:r>
      <w:r w:rsidRPr="000E7B53">
        <w:t>КНЕУ, 2001</w:t>
      </w:r>
      <w:r w:rsidR="000E7B53" w:rsidRPr="000E7B53">
        <w:t xml:space="preserve">. - </w:t>
      </w:r>
      <w:r w:rsidRPr="000E7B53">
        <w:t>540 стр</w:t>
      </w:r>
      <w:r w:rsidR="000E7B53" w:rsidRPr="000E7B53">
        <w:t xml:space="preserve">.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4</w:t>
      </w:r>
      <w:r w:rsidR="000E7B53" w:rsidRPr="000E7B53">
        <w:t xml:space="preserve">. </w:t>
      </w:r>
      <w:r w:rsidRPr="000E7B53">
        <w:t>Бутынец Ф</w:t>
      </w:r>
      <w:r w:rsidR="000E7B53">
        <w:t xml:space="preserve">.Ф. </w:t>
      </w:r>
      <w:r w:rsidRPr="000E7B53">
        <w:t>Аудит</w:t>
      </w:r>
      <w:r w:rsidR="000E7B53" w:rsidRPr="000E7B53">
        <w:t xml:space="preserve">: </w:t>
      </w:r>
      <w:r w:rsidRPr="000E7B53">
        <w:t xml:space="preserve">Учебник для студентов специальности </w:t>
      </w:r>
      <w:r w:rsidR="000E7B53" w:rsidRPr="000E7B53">
        <w:t>"</w:t>
      </w:r>
      <w:r w:rsidRPr="000E7B53">
        <w:t>Учет и аудит</w:t>
      </w:r>
      <w:r w:rsidR="000E7B53" w:rsidRPr="000E7B53">
        <w:t>"</w:t>
      </w:r>
      <w:r w:rsidRPr="000E7B53">
        <w:t xml:space="preserve"> высших учебных заведений</w:t>
      </w:r>
      <w:r w:rsidR="000E7B53" w:rsidRPr="000E7B53">
        <w:t xml:space="preserve"> - </w:t>
      </w:r>
      <w:r w:rsidRPr="000E7B53">
        <w:t>2-е издание, переработанное и дополненное</w:t>
      </w:r>
      <w:r w:rsidR="000E7B53" w:rsidRPr="000E7B53">
        <w:t xml:space="preserve">. - </w:t>
      </w:r>
      <w:r w:rsidRPr="000E7B53">
        <w:t>Ж</w:t>
      </w:r>
      <w:r w:rsidR="000E7B53" w:rsidRPr="000E7B53">
        <w:t>.: "</w:t>
      </w:r>
      <w:r w:rsidRPr="000E7B53">
        <w:t>Рута</w:t>
      </w:r>
      <w:r w:rsidR="000E7B53" w:rsidRPr="000E7B53">
        <w:t>"</w:t>
      </w:r>
      <w:r w:rsidRPr="000E7B53">
        <w:t>, 2002</w:t>
      </w:r>
      <w:r w:rsidR="000E7B53" w:rsidRPr="000E7B53">
        <w:t xml:space="preserve"> - </w:t>
      </w:r>
      <w:r w:rsidRPr="000E7B53">
        <w:t>672 стр</w:t>
      </w:r>
      <w:r w:rsidR="000E7B53" w:rsidRPr="000E7B53">
        <w:t xml:space="preserve">.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5</w:t>
      </w:r>
      <w:r w:rsidR="000E7B53" w:rsidRPr="000E7B53">
        <w:t xml:space="preserve">. </w:t>
      </w:r>
      <w:r w:rsidRPr="000E7B53">
        <w:t>Кононенко О</w:t>
      </w:r>
      <w:r w:rsidR="000E7B53">
        <w:t xml:space="preserve">.Л. </w:t>
      </w:r>
      <w:r w:rsidRPr="000E7B53">
        <w:t>Анализ финансовой отчетности</w:t>
      </w:r>
      <w:r w:rsidR="000E7B53">
        <w:t>.3</w:t>
      </w:r>
      <w:r w:rsidRPr="000E7B53">
        <w:t>-е издание</w:t>
      </w:r>
      <w:r w:rsidR="000E7B53" w:rsidRPr="000E7B53">
        <w:t xml:space="preserve">. </w:t>
      </w:r>
      <w:r w:rsidRPr="000E7B53">
        <w:t>Х</w:t>
      </w:r>
      <w:r w:rsidR="000E7B53" w:rsidRPr="000E7B53">
        <w:t>.: "</w:t>
      </w:r>
      <w:r w:rsidRPr="000E7B53">
        <w:t>Фактор</w:t>
      </w:r>
      <w:r w:rsidR="000E7B53" w:rsidRPr="000E7B53">
        <w:t>"</w:t>
      </w:r>
      <w:r w:rsidRPr="000E7B53">
        <w:t>, 2005</w:t>
      </w:r>
      <w:r w:rsidR="000E7B53" w:rsidRPr="000E7B53">
        <w:t xml:space="preserve"> - </w:t>
      </w:r>
      <w:r w:rsidRPr="000E7B53">
        <w:t>156 стр</w:t>
      </w:r>
      <w:r w:rsidR="000E7B53" w:rsidRPr="000E7B53">
        <w:t xml:space="preserve">.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6</w:t>
      </w:r>
      <w:r w:rsidR="000E7B53" w:rsidRPr="000E7B53">
        <w:t xml:space="preserve">. </w:t>
      </w:r>
      <w:r w:rsidRPr="000E7B53">
        <w:t>Кравченко Л</w:t>
      </w:r>
      <w:r w:rsidR="000E7B53">
        <w:t xml:space="preserve">.И. </w:t>
      </w:r>
      <w:r w:rsidRPr="000E7B53">
        <w:t>Анализ финансового состояния предприятия</w:t>
      </w:r>
      <w:r w:rsidR="000E7B53" w:rsidRPr="000E7B53">
        <w:t xml:space="preserve">. </w:t>
      </w:r>
      <w:r w:rsidRPr="000E7B53">
        <w:t>Х</w:t>
      </w:r>
      <w:r w:rsidR="000E7B53" w:rsidRPr="000E7B53">
        <w:t>.: "</w:t>
      </w:r>
      <w:r w:rsidRPr="000E7B53">
        <w:t>Экаунт</w:t>
      </w:r>
      <w:r w:rsidR="000E7B53" w:rsidRPr="000E7B53">
        <w:t>"</w:t>
      </w:r>
      <w:r w:rsidRPr="000E7B53">
        <w:t>, 1999</w:t>
      </w:r>
      <w:r w:rsidR="000E7B53" w:rsidRPr="000E7B53">
        <w:t xml:space="preserve"> - </w:t>
      </w:r>
      <w:r w:rsidRPr="000E7B53">
        <w:t>334 стр</w:t>
      </w:r>
      <w:r w:rsidR="000E7B53" w:rsidRPr="000E7B53">
        <w:t xml:space="preserve">.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7</w:t>
      </w:r>
      <w:r w:rsidR="000E7B53" w:rsidRPr="000E7B53">
        <w:t xml:space="preserve">. </w:t>
      </w:r>
      <w:r w:rsidRPr="000E7B53">
        <w:t>Кулаковская Л</w:t>
      </w:r>
      <w:r w:rsidR="000E7B53">
        <w:t xml:space="preserve">.П., </w:t>
      </w:r>
      <w:r w:rsidRPr="000E7B53">
        <w:t>Пича Ю</w:t>
      </w:r>
      <w:r w:rsidR="000E7B53">
        <w:t xml:space="preserve">.В. </w:t>
      </w:r>
      <w:r w:rsidRPr="000E7B53">
        <w:t>Основы аудита</w:t>
      </w:r>
      <w:r w:rsidR="000E7B53" w:rsidRPr="000E7B53">
        <w:t xml:space="preserve">: </w:t>
      </w:r>
      <w:r w:rsidRPr="000E7B53">
        <w:t>Учебное пособие для студентов высших учебных заведений</w:t>
      </w:r>
      <w:r w:rsidR="000E7B53" w:rsidRPr="000E7B53">
        <w:t xml:space="preserve">. - </w:t>
      </w:r>
      <w:r w:rsidRPr="000E7B53">
        <w:t>К</w:t>
      </w:r>
      <w:r w:rsidR="000E7B53" w:rsidRPr="000E7B53">
        <w:t>.: "</w:t>
      </w:r>
      <w:r w:rsidRPr="000E7B53">
        <w:t>Каравелла</w:t>
      </w:r>
      <w:r w:rsidR="000E7B53" w:rsidRPr="000E7B53">
        <w:t>"</w:t>
      </w:r>
      <w:r w:rsidRPr="000E7B53">
        <w:t>, 2004</w:t>
      </w:r>
      <w:r w:rsidR="000E7B53" w:rsidRPr="000E7B53">
        <w:t xml:space="preserve"> - </w:t>
      </w:r>
      <w:r w:rsidRPr="000E7B53">
        <w:t>496 стр</w:t>
      </w:r>
      <w:r w:rsidR="000E7B53" w:rsidRPr="000E7B53">
        <w:t xml:space="preserve">. </w:t>
      </w:r>
    </w:p>
    <w:p w:rsidR="00534534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8</w:t>
      </w:r>
      <w:r w:rsidR="000E7B53" w:rsidRPr="000E7B53">
        <w:t xml:space="preserve">. </w:t>
      </w:r>
      <w:r w:rsidRPr="000E7B53">
        <w:t>Савицкая Г</w:t>
      </w:r>
      <w:r w:rsidR="000E7B53">
        <w:t xml:space="preserve">.В. </w:t>
      </w:r>
      <w:r w:rsidRPr="000E7B53">
        <w:t>Экономический анализ хозяйственной деятельности предприятия</w:t>
      </w:r>
      <w:r w:rsidR="000E7B53" w:rsidRPr="000E7B53">
        <w:t xml:space="preserve">. </w:t>
      </w:r>
      <w:r w:rsidRPr="000E7B53">
        <w:t>Учебное пособие</w:t>
      </w:r>
      <w:r w:rsidR="000E7B53" w:rsidRPr="000E7B53">
        <w:t xml:space="preserve">. - </w:t>
      </w:r>
      <w:r w:rsidRPr="000E7B53">
        <w:t>К</w:t>
      </w:r>
      <w:r w:rsidR="000E7B53" w:rsidRPr="000E7B53">
        <w:t>.: "</w:t>
      </w:r>
      <w:r w:rsidRPr="000E7B53">
        <w:t>Новое знание</w:t>
      </w:r>
      <w:r w:rsidR="000E7B53" w:rsidRPr="000E7B53">
        <w:t>"</w:t>
      </w:r>
      <w:r w:rsidRPr="000E7B53">
        <w:t>, 2002</w:t>
      </w:r>
      <w:r w:rsidR="000E7B53" w:rsidRPr="000E7B53">
        <w:t xml:space="preserve">. - </w:t>
      </w:r>
      <w:r w:rsidRPr="000E7B53">
        <w:t>490 стр</w:t>
      </w:r>
      <w:r w:rsidR="000E7B53" w:rsidRPr="000E7B53">
        <w:t xml:space="preserve">. </w:t>
      </w:r>
    </w:p>
    <w:p w:rsidR="00DC1D20" w:rsidRPr="000E7B53" w:rsidRDefault="00534534" w:rsidP="00F653D7">
      <w:pPr>
        <w:widowControl w:val="0"/>
        <w:autoSpaceDE w:val="0"/>
        <w:autoSpaceDN w:val="0"/>
        <w:adjustRightInd w:val="0"/>
        <w:ind w:firstLine="0"/>
      </w:pPr>
      <w:r w:rsidRPr="000E7B53">
        <w:t>9</w:t>
      </w:r>
      <w:r w:rsidR="000E7B53" w:rsidRPr="000E7B53">
        <w:t xml:space="preserve">. </w:t>
      </w:r>
      <w:r w:rsidRPr="000E7B53">
        <w:t>Шеремет Д</w:t>
      </w:r>
      <w:r w:rsidR="000E7B53">
        <w:t xml:space="preserve">.А. </w:t>
      </w:r>
      <w:r w:rsidRPr="000E7B53">
        <w:t>Комплексный хозяйственный анализ деятельности предприятия</w:t>
      </w:r>
      <w:r w:rsidR="000E7B53" w:rsidRPr="000E7B53">
        <w:t xml:space="preserve">. - </w:t>
      </w:r>
      <w:r w:rsidRPr="000E7B53">
        <w:t>М</w:t>
      </w:r>
      <w:r w:rsidR="000E7B53" w:rsidRPr="000E7B53">
        <w:t xml:space="preserve">.: </w:t>
      </w:r>
      <w:r w:rsidRPr="000E7B53">
        <w:t>1998</w:t>
      </w:r>
      <w:r w:rsidR="000E7B53" w:rsidRPr="000E7B53">
        <w:t xml:space="preserve"> - </w:t>
      </w:r>
      <w:r w:rsidRPr="000E7B53">
        <w:t>440 стр</w:t>
      </w:r>
      <w:r w:rsidR="000E7B53" w:rsidRPr="000E7B53">
        <w:t xml:space="preserve">. </w:t>
      </w:r>
    </w:p>
    <w:p w:rsidR="000E7B53" w:rsidRDefault="00F653D7" w:rsidP="00F653D7">
      <w:pPr>
        <w:widowControl w:val="0"/>
        <w:autoSpaceDE w:val="0"/>
        <w:autoSpaceDN w:val="0"/>
        <w:adjustRightInd w:val="0"/>
        <w:ind w:firstLine="0"/>
      </w:pPr>
      <w:r>
        <w:t xml:space="preserve">10. </w:t>
      </w:r>
      <w:r w:rsidR="00534534" w:rsidRPr="000E7B53">
        <w:t>Различные сайты, посвященные как Российской так и международной экономике, аудиту и страхованию, обзорные статьи, новости СМИ и прочая информационно-справочная литература, включающая более 50 источников</w:t>
      </w:r>
      <w:r w:rsidR="000E7B53" w:rsidRPr="000E7B53">
        <w:t xml:space="preserve">. </w:t>
      </w:r>
    </w:p>
    <w:p w:rsidR="004705E9" w:rsidRPr="000E7B53" w:rsidRDefault="004705E9" w:rsidP="000E7B53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4705E9" w:rsidRPr="000E7B53" w:rsidSect="000E7B53">
      <w:headerReference w:type="default" r:id="rId7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1F" w:rsidRDefault="000E421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E421F" w:rsidRDefault="000E42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1F" w:rsidRDefault="000E421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E421F" w:rsidRDefault="000E421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53" w:rsidRDefault="008B4113" w:rsidP="000E7B53">
    <w:pPr>
      <w:pStyle w:val="a9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E7B53" w:rsidRDefault="000E7B53" w:rsidP="000E7B5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9E2"/>
    <w:multiLevelType w:val="hybridMultilevel"/>
    <w:tmpl w:val="773EE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12609"/>
    <w:multiLevelType w:val="hybridMultilevel"/>
    <w:tmpl w:val="C7F225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3D0645BA"/>
    <w:multiLevelType w:val="hybridMultilevel"/>
    <w:tmpl w:val="797600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40DE366F"/>
    <w:multiLevelType w:val="hybridMultilevel"/>
    <w:tmpl w:val="0D1C34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40E5C0F"/>
    <w:multiLevelType w:val="multilevel"/>
    <w:tmpl w:val="DB4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AFF31B0"/>
    <w:multiLevelType w:val="hybridMultilevel"/>
    <w:tmpl w:val="CD246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6C4718"/>
    <w:multiLevelType w:val="hybridMultilevel"/>
    <w:tmpl w:val="6A5CB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956"/>
    <w:rsid w:val="000E421F"/>
    <w:rsid w:val="000E7B53"/>
    <w:rsid w:val="001209E7"/>
    <w:rsid w:val="00242C70"/>
    <w:rsid w:val="002E623E"/>
    <w:rsid w:val="003A3884"/>
    <w:rsid w:val="003F5CB1"/>
    <w:rsid w:val="004060F2"/>
    <w:rsid w:val="004705E9"/>
    <w:rsid w:val="00521A59"/>
    <w:rsid w:val="005251A0"/>
    <w:rsid w:val="00526BB7"/>
    <w:rsid w:val="00534534"/>
    <w:rsid w:val="00573ACB"/>
    <w:rsid w:val="005873A1"/>
    <w:rsid w:val="005E6C27"/>
    <w:rsid w:val="006E73EF"/>
    <w:rsid w:val="00703C22"/>
    <w:rsid w:val="007A17C7"/>
    <w:rsid w:val="0081459A"/>
    <w:rsid w:val="008B4113"/>
    <w:rsid w:val="00A0568C"/>
    <w:rsid w:val="00A3476F"/>
    <w:rsid w:val="00A3491B"/>
    <w:rsid w:val="00A35C95"/>
    <w:rsid w:val="00A91CDF"/>
    <w:rsid w:val="00A91D81"/>
    <w:rsid w:val="00AC4E9A"/>
    <w:rsid w:val="00AC5C86"/>
    <w:rsid w:val="00B24956"/>
    <w:rsid w:val="00B81582"/>
    <w:rsid w:val="00B90211"/>
    <w:rsid w:val="00BA593C"/>
    <w:rsid w:val="00BB1653"/>
    <w:rsid w:val="00BD74C9"/>
    <w:rsid w:val="00C14391"/>
    <w:rsid w:val="00C65954"/>
    <w:rsid w:val="00C75247"/>
    <w:rsid w:val="00CB5983"/>
    <w:rsid w:val="00CD7EEF"/>
    <w:rsid w:val="00CF2555"/>
    <w:rsid w:val="00DA6323"/>
    <w:rsid w:val="00DC1D20"/>
    <w:rsid w:val="00E034F8"/>
    <w:rsid w:val="00F653D7"/>
    <w:rsid w:val="00FC2ED3"/>
    <w:rsid w:val="00F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9224D0-3B92-473D-B297-213ACB50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7B5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7B5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E7B5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E7B5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7B5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7B5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7B5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7B5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7B5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B81582"/>
    <w:pPr>
      <w:widowControl w:val="0"/>
      <w:tabs>
        <w:tab w:val="left" w:pos="540"/>
      </w:tabs>
      <w:autoSpaceDE w:val="0"/>
      <w:autoSpaceDN w:val="0"/>
      <w:adjustRightInd w:val="0"/>
      <w:ind w:left="540"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2"/>
    <w:next w:val="a2"/>
    <w:autoRedefine/>
    <w:uiPriority w:val="99"/>
    <w:semiHidden/>
    <w:rsid w:val="000E7B5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character" w:styleId="a8">
    <w:name w:val="Hyperlink"/>
    <w:uiPriority w:val="99"/>
    <w:rsid w:val="000E7B53"/>
    <w:rPr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0E7B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E7B53"/>
    <w:rPr>
      <w:vertAlign w:val="superscript"/>
    </w:rPr>
  </w:style>
  <w:style w:type="paragraph" w:styleId="ad">
    <w:name w:val="footer"/>
    <w:basedOn w:val="a2"/>
    <w:link w:val="ae"/>
    <w:uiPriority w:val="99"/>
    <w:semiHidden/>
    <w:rsid w:val="000E7B5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0E7B53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E7B53"/>
  </w:style>
  <w:style w:type="table" w:styleId="af0">
    <w:name w:val="Table Grid"/>
    <w:basedOn w:val="a4"/>
    <w:uiPriority w:val="99"/>
    <w:rsid w:val="000E7B53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2"/>
    <w:link w:val="af1"/>
    <w:uiPriority w:val="99"/>
    <w:rsid w:val="000E7B53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E7B5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0E7B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E7B5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0E7B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0E7B5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0E7B53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0E7B5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E7B53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0E7B53"/>
    <w:rPr>
      <w:sz w:val="28"/>
      <w:szCs w:val="28"/>
    </w:rPr>
  </w:style>
  <w:style w:type="paragraph" w:styleId="af9">
    <w:name w:val="Normal (Web)"/>
    <w:basedOn w:val="a2"/>
    <w:uiPriority w:val="99"/>
    <w:rsid w:val="000E7B5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0E7B5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7B5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7B5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7B5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E7B5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E7B5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0E7B5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7B53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7B53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E7B5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E7B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E7B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7B53"/>
    <w:rPr>
      <w:i/>
      <w:iCs/>
    </w:rPr>
  </w:style>
  <w:style w:type="paragraph" w:customStyle="1" w:styleId="afb">
    <w:name w:val="ТАБЛИЦА"/>
    <w:next w:val="a2"/>
    <w:autoRedefine/>
    <w:uiPriority w:val="99"/>
    <w:rsid w:val="000E7B53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0E7B53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0E7B5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E7B5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E7B5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0E7B53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0E7B5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4020</Words>
  <Characters>22915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"Обломов и Ко"</Company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Homesitter</dc:creator>
  <cp:keywords/>
  <dc:description/>
  <cp:lastModifiedBy>admin</cp:lastModifiedBy>
  <cp:revision>2</cp:revision>
  <cp:lastPrinted>2009-04-17T17:45:00Z</cp:lastPrinted>
  <dcterms:created xsi:type="dcterms:W3CDTF">2014-03-03T20:00:00Z</dcterms:created>
  <dcterms:modified xsi:type="dcterms:W3CDTF">2014-03-03T20:00:00Z</dcterms:modified>
</cp:coreProperties>
</file>