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CB9" w:rsidRPr="00E52730" w:rsidRDefault="00DF3CB9" w:rsidP="00DF3CB9">
      <w:pPr>
        <w:spacing w:before="120"/>
        <w:jc w:val="center"/>
        <w:rPr>
          <w:b/>
          <w:bCs/>
          <w:sz w:val="32"/>
          <w:szCs w:val="32"/>
        </w:rPr>
      </w:pPr>
      <w:r w:rsidRPr="00E52730">
        <w:rPr>
          <w:b/>
          <w:bCs/>
          <w:sz w:val="32"/>
          <w:szCs w:val="32"/>
        </w:rPr>
        <w:t xml:space="preserve">Методы расчетов бюджета стимулирования </w:t>
      </w:r>
    </w:p>
    <w:p w:rsidR="00DF3CB9" w:rsidRPr="00E52730" w:rsidRDefault="00DF3CB9" w:rsidP="00DF3CB9">
      <w:pPr>
        <w:spacing w:before="120"/>
        <w:jc w:val="center"/>
        <w:rPr>
          <w:sz w:val="28"/>
          <w:szCs w:val="28"/>
        </w:rPr>
      </w:pPr>
      <w:r w:rsidRPr="00E52730">
        <w:rPr>
          <w:sz w:val="28"/>
          <w:szCs w:val="28"/>
        </w:rPr>
        <w:t xml:space="preserve">Докучаева С. А.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Реклама, т. е. использование продавцом платных средств распространения информации для проведения увещевательных сведении о товарах, услугах или организациях, - мощное средство стимулирования. Реклама выступает во множестве разновидностей. Принятие решения о рекламе - это пятиступенчатый процесс, состоящий из постановки задач, принятия решений о бюджете, обращении и средствах распространения информации, а также из последующей оценки результатов рекламной программы. </w:t>
      </w:r>
    </w:p>
    <w:p w:rsidR="00DF3CB9" w:rsidRPr="00E52730" w:rsidRDefault="00DF3CB9" w:rsidP="00DF3CB9">
      <w:pPr>
        <w:spacing w:before="120"/>
        <w:jc w:val="center"/>
        <w:rPr>
          <w:b/>
          <w:bCs/>
          <w:sz w:val="28"/>
          <w:szCs w:val="28"/>
        </w:rPr>
      </w:pPr>
      <w:r w:rsidRPr="00E52730">
        <w:rPr>
          <w:b/>
          <w:bCs/>
          <w:sz w:val="28"/>
          <w:szCs w:val="28"/>
        </w:rPr>
        <w:t xml:space="preserve">Функции рекламы.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К ним традиционно относят следующие: информационную, манипулирования и комплементарную.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Информационная функция рекламы заключается в том, чтобы продемонстрировать потенциал предприятия и свойства его продукции.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Воздействие на эмоции, позиции, ожидания и действия, связанные с процессом совершения покупки тех потребителей и пользователей, которые являются субъектами рекламы, с целью выработки определенного отношения к собственной продукции фирмы, называется функцией манипулирования.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Комплементарная (дополнительная) функция необходима для поддержания используемых инструментов маркетинга. Без нее даже совокупное рекламное воздействие, как правило, не может достичь поставленных целей маркетинга.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Знание различий в функциях рекламы позволяет успешнее разобраться в сравнитекльной эффективности рекламных компаний и отдельных усилий.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ПОСТАНОВКА ЗАДАЧ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Цели коммуникации, цели сбыта.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РЕШЕНИЯ О РАЗРАБОТКЕ БЮДЖЕТА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Метод исчисления от наличных средств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Метод исчисления &lt;в процентах к сумме продаж&gt;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Метод конкурентного паритета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Метод исчисления &lt;исходя из целей и задач&gt;</w:t>
      </w:r>
    </w:p>
    <w:tbl>
      <w:tblPr>
        <w:tblW w:w="5000" w:type="pct"/>
        <w:tblCellSpacing w:w="7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4336"/>
        <w:gridCol w:w="5630"/>
      </w:tblGrid>
      <w:tr w:rsidR="00DF3CB9" w:rsidRPr="000D6101" w:rsidTr="00E40039">
        <w:trPr>
          <w:trHeight w:val="2775"/>
          <w:tblCellSpacing w:w="7" w:type="dxa"/>
        </w:trPr>
        <w:tc>
          <w:tcPr>
            <w:tcW w:w="21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3CB9" w:rsidRPr="000D6101" w:rsidRDefault="00DF3CB9" w:rsidP="00E40039">
            <w:r w:rsidRPr="000D6101">
              <w:t xml:space="preserve">РЕШЕНИЯ О РЕКЛАМНОМ ОБРАЩЕНИИ </w:t>
            </w:r>
          </w:p>
          <w:p w:rsidR="00DF3CB9" w:rsidRPr="000D6101" w:rsidRDefault="00DF3CB9" w:rsidP="00E40039">
            <w:r w:rsidRPr="000D6101">
              <w:t>Формирование идеи обращения</w:t>
            </w:r>
          </w:p>
          <w:p w:rsidR="00DF3CB9" w:rsidRPr="000D6101" w:rsidRDefault="00DF3CB9" w:rsidP="00E40039">
            <w:r w:rsidRPr="000D6101">
              <w:t>Исполнение обращения</w:t>
            </w:r>
          </w:p>
          <w:p w:rsidR="00DF3CB9" w:rsidRPr="000D6101" w:rsidRDefault="00DF3CB9" w:rsidP="00E40039">
            <w:r w:rsidRPr="000D6101">
              <w:t>Оценка и выбор вариантов обращения</w:t>
            </w:r>
          </w:p>
        </w:tc>
        <w:tc>
          <w:tcPr>
            <w:tcW w:w="2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F3CB9" w:rsidRPr="000D6101" w:rsidRDefault="00DF3CB9" w:rsidP="00E40039">
            <w:r w:rsidRPr="000D6101">
              <w:t xml:space="preserve">РЕШЕНИЯ О СРЕДСТВАХ РАСПРОСТРАНЕНИЯ ИНФОРМ. </w:t>
            </w:r>
          </w:p>
          <w:p w:rsidR="00DF3CB9" w:rsidRPr="000D6101" w:rsidRDefault="00DF3CB9" w:rsidP="00E40039">
            <w:r w:rsidRPr="000D6101">
              <w:t>Охват, частность, воздействие</w:t>
            </w:r>
          </w:p>
          <w:p w:rsidR="00DF3CB9" w:rsidRPr="000D6101" w:rsidRDefault="00DF3CB9" w:rsidP="00E40039">
            <w:r w:rsidRPr="000D6101">
              <w:t>Основные виды средств распространения информации</w:t>
            </w:r>
          </w:p>
          <w:p w:rsidR="00DF3CB9" w:rsidRPr="000D6101" w:rsidRDefault="00DF3CB9" w:rsidP="00E40039">
            <w:r w:rsidRPr="000D6101">
              <w:t>Конкретные носители рекламы</w:t>
            </w:r>
          </w:p>
          <w:p w:rsidR="00DF3CB9" w:rsidRPr="000D6101" w:rsidRDefault="00DF3CB9" w:rsidP="00E40039">
            <w:r w:rsidRPr="000D6101">
              <w:t>График использования средств рекламы</w:t>
            </w:r>
          </w:p>
        </w:tc>
      </w:tr>
    </w:tbl>
    <w:p w:rsidR="00DF3CB9" w:rsidRPr="00E52730" w:rsidRDefault="00DF3CB9" w:rsidP="00DF3CB9">
      <w:pPr>
        <w:spacing w:before="120"/>
        <w:jc w:val="center"/>
        <w:rPr>
          <w:b/>
          <w:bCs/>
          <w:sz w:val="28"/>
          <w:szCs w:val="28"/>
        </w:rPr>
      </w:pPr>
      <w:r w:rsidRPr="00E52730">
        <w:rPr>
          <w:b/>
          <w:bCs/>
          <w:sz w:val="28"/>
          <w:szCs w:val="28"/>
        </w:rPr>
        <w:t>Оценка рекламной программы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Коммуникативная эффективность, торговая эффективность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Определив задачи своей рекламы, фирма может приступать к разработке рекламного бюджета на каждый отдельный товар. Роль рекламы состоит в поднятии спроса на него. И фирма хочет истратить именно столько денег. Сколько абсолютно необходимо для достижения намеченных показателей сбыта. В схеме 1 перечислены четыре наиболее часто используемых метода расчета рекламного бюджета.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Одной из наиболее трудных маркетинговых проблем, стоящих перед фирмой, является принятие решения о размере ассигнований на стимулирование. Метод разработки смет расходов: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1.Метод исчисления от наличных средств.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Фирмы выделяют в бюджет на стимулирование определенную сумму, которую они могут себе позволить истратить. Подобный метод определения размеров бюджета полностью игнорирует влияниестимулирования на объем сбыта. В результате величина бюджета из года в год остается неопределенной, что затрудняет перспективное планирование рыночной деятельности.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2.Метод исчисления &lt;в процентах к сумме продаж&gt;.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Здесь подразумевается отчисление средств в определенном процентном отношении либо к сумме продаж (текущих или ожидаемых), либо к продажной цене товара. Считается, что этот метод имеет ряд преимуществ.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А) Расчет в процентах к объему продаж означает , что сумма ассигнований на стимулирование будет скорее всего меняться в зависимости от того, что фирма &lt;может себе позволить&gt;. Это вполне удовлетворяет финансовых руководителей, которые считают, что затраты должны тесно увязываться с динамикой продаж фирмы в разные периоды цикла деловой активности.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Б) Метод учитывает взаимосвязь между издержками по стимулированию, продажной ценой товара и суммой прибыли в расчете на товарную единицу.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В) Обеспечивается способность поддержания конкурентной стабильности в такой мере, что фирмы-конкуренты тратят на стимулирование примерно один и тот же процент своих продаж.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На ряду с приемуществами имеются инедостатки этого метода . Так, например, метод строится на рассуждениях о том, что сбыт является причиной стимулирования, а не следствием. Размер бюджета определяется наличными средствами, а не имеющимися возможностями. Зависимость бюджета от изменений показателей сбыта по годам мешает перспективному планированию. Этот метод не поощряет формирования бюджета стимулирования с учетом того, чего заслуживает каждый отдельный товар и каждая отдельная сбытовая территория.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3.Метод конкурентного паритета.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Размер бюджета стимулирования устанавливается на уровне соответствующих затрат конкурентов. В поддержку этого метода говорят два довода. Один из них заключается в том, что уровень затрат конкурентов олицетворяет собой коллективную мудрость отрасли . Второй гласит, что поддержание конкурентного паритета помогает избегать острой борьбы в сфере стимулирования. Но издесь ниодин из доводов не имеет подлиной силыю. Нет оснований считать, что у конкурентов более здравые взгляды на то , сколько именно следует тратить на цели стимулирования.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4.Метод исчисления &lt;исходя из целей и задач&gt;.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Этот метод требует, чтобы субъекты рынка формировали свои бюджеты стимулирования на основе :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1.выработки конкретных целей;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2.определения задач,которые предстоит решить для достижения этих целей;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3.оценки затрат на решение этих задач.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Сумма всех этих издержек и даст ориентировачную цифру бюджетных ассигнований на стимулирование.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Рассмотрим этот метод на примере. Необходимо определить объем рекламного бюджета на новый сорт сигарет с фильтром под названием &lt;Спутник&gt; (название условное). Процесс состоит из следующих этапов: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1.Установление контрольного показателя доли рынка. Предположим рекламодатель хочет завоевать 8% рынка. Поскольку рынок состоит из 50 млн. курильщиков , фирма хочет , чтобы на новые сигареты переключились четыре миллиона человек.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2.Определение процентной доли рынка, которую следует охватить рекламой сигарет &lt;Спутник&gt; 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Рекламодатель планирует охватить своей рекламой 80% рынка 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 xml:space="preserve">3.Определение процентного числа осведомленных курильщиков, которых необходимо убедить попробовать сигареты &lt;Спутник&gt;. 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Рекламодатель был бы доволен, если бы его сигареты попробовало 25% всех осведомленных курильщиков, т.е. 10 млн. человек. Дело в том, что по его расчетам, 40% общего числа попробовавших новинку, т.е. 4 млн человек, станут ее приверженцами. А это как раз и есть намеченный контрольный показатель доли рынка.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4.Определение числа рекламных впечатлений в расчете на 1% роста интенсивности опробования.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По оценкам рекламодателя, 40 рекламных впечатлений (контактов) на каждый процент аудитории обеспечат интенсивность опробования новинки на уровне 25%.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5. Определение суммы пунктов валового оценочного коэффициента, которую необходимо обеспечить.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Пункт валового оценочного коэффициента - это один рекламный контакт с 1% целевой аудитории. Поскольку фирма хочет добиться 40 рекламных контактов с 80% целевой аудитории, ей необходимо будет обеспечить валовой оценочный коэффициент в 3200 пунктов (40*80).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6.Определение размеров необходимого рекламного бюджета, исходя из расчета средней стоимости одного пункта ывалового оценочного коэффициента 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При охвате 1% целевой аудитории издержки на обеспечение 1 рекламного впечатления составляют в среднем 3277 долл. Следовательно, достижениевалового оценочного коэффициента в 3200 пунктов обойдется фирме в год выведения товара на рынок в 10 486 400 долл. (3277*3200).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Достоинство этого метода в том, что он требует от руководства четкого изложения своих представлений о взаимосвязи между суммой затрат, уровнем рекламных контактов, интенсивностью опробования и регулярного использования товара.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Теоретически величина генеральной сметы на стимулирование должна устанавливаться на уровне равенства между максимальной прибылью с каждого доллара, вложенного в стимулирование, и максимальной прибылью с каждого доллара, особенно выгодно истраченного на другие цели.</w:t>
      </w:r>
    </w:p>
    <w:p w:rsidR="00DF3CB9" w:rsidRPr="000D6101" w:rsidRDefault="00DF3CB9" w:rsidP="00DF3CB9">
      <w:pPr>
        <w:spacing w:before="120"/>
        <w:ind w:firstLine="567"/>
        <w:jc w:val="both"/>
      </w:pPr>
      <w:r w:rsidRPr="000D6101">
        <w:t>Таким образом, расчитывая объем бюджета стимулирования лучше использовать метод исчисления &lt;исходя из целей и задач&gt;.</w:t>
      </w:r>
    </w:p>
    <w:p w:rsidR="00DF3CB9" w:rsidRDefault="00DF3CB9" w:rsidP="00DF3CB9">
      <w:pPr>
        <w:spacing w:before="120"/>
        <w:ind w:firstLine="567"/>
        <w:jc w:val="both"/>
      </w:pPr>
      <w:r w:rsidRPr="000D6101">
        <w:t xml:space="preserve">Этот метод наиболее четко отражает реальные возможности фирмы. Определив объем денежных средств необходимо их распределить по основным используемым средствам стимулирования.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CB9"/>
    <w:rsid w:val="000D6101"/>
    <w:rsid w:val="00221C83"/>
    <w:rsid w:val="0031418A"/>
    <w:rsid w:val="00404429"/>
    <w:rsid w:val="005A2562"/>
    <w:rsid w:val="00DF3CB9"/>
    <w:rsid w:val="00E12572"/>
    <w:rsid w:val="00E40039"/>
    <w:rsid w:val="00E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5CC905-27AF-4AB8-8047-203EAA7C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CB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3CB9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1206</Words>
  <Characters>6876</Characters>
  <Application>Microsoft Office Word</Application>
  <DocSecurity>0</DocSecurity>
  <Lines>57</Lines>
  <Paragraphs>16</Paragraphs>
  <ScaleCrop>false</ScaleCrop>
  <Company>Home</Company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расчетов бюджета стимулирования </dc:title>
  <dc:subject/>
  <dc:creator>Alena</dc:creator>
  <cp:keywords/>
  <dc:description/>
  <cp:lastModifiedBy>admin</cp:lastModifiedBy>
  <cp:revision>2</cp:revision>
  <dcterms:created xsi:type="dcterms:W3CDTF">2014-02-17T02:20:00Z</dcterms:created>
  <dcterms:modified xsi:type="dcterms:W3CDTF">2014-02-17T02:20:00Z</dcterms:modified>
</cp:coreProperties>
</file>