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B563B6" w:rsidRPr="00445734" w:rsidRDefault="00B563B6" w:rsidP="00445734">
      <w:pPr>
        <w:pStyle w:val="Style1"/>
        <w:keepNext/>
        <w:spacing w:line="360" w:lineRule="auto"/>
        <w:ind w:firstLine="720"/>
        <w:jc w:val="both"/>
        <w:rPr>
          <w:rStyle w:val="FontStyle12"/>
          <w:b w:val="0"/>
          <w:sz w:val="28"/>
        </w:rPr>
      </w:pPr>
    </w:p>
    <w:p w:rsidR="00F86D74" w:rsidRPr="00445734" w:rsidRDefault="00F86D74" w:rsidP="00445734">
      <w:pPr>
        <w:pStyle w:val="Style1"/>
        <w:keepNext/>
        <w:spacing w:line="360" w:lineRule="auto"/>
        <w:ind w:firstLine="720"/>
        <w:jc w:val="center"/>
        <w:rPr>
          <w:rStyle w:val="FontStyle12"/>
          <w:sz w:val="28"/>
        </w:rPr>
      </w:pPr>
      <w:r w:rsidRPr="00445734">
        <w:rPr>
          <w:rStyle w:val="FontStyle12"/>
          <w:sz w:val="28"/>
        </w:rPr>
        <w:t xml:space="preserve">Минералогия </w:t>
      </w:r>
      <w:r w:rsidR="00B563B6" w:rsidRPr="00445734">
        <w:rPr>
          <w:rStyle w:val="FontStyle12"/>
          <w:sz w:val="28"/>
        </w:rPr>
        <w:t>золота и серебра и их отношения</w:t>
      </w:r>
    </w:p>
    <w:p w:rsidR="00F86D74" w:rsidRPr="00445734" w:rsidRDefault="00B563B6" w:rsidP="00445734">
      <w:pPr>
        <w:pStyle w:val="Style2"/>
        <w:keepNext/>
        <w:spacing w:line="360" w:lineRule="auto"/>
        <w:ind w:firstLine="720"/>
        <w:jc w:val="center"/>
        <w:rPr>
          <w:rStyle w:val="FontStyle14"/>
          <w:sz w:val="28"/>
        </w:rPr>
      </w:pPr>
      <w:r w:rsidRPr="00445734">
        <w:rPr>
          <w:rStyle w:val="FontStyle14"/>
          <w:b w:val="0"/>
          <w:sz w:val="28"/>
        </w:rPr>
        <w:br w:type="page"/>
      </w:r>
      <w:r w:rsidR="00445734">
        <w:rPr>
          <w:rStyle w:val="FontStyle14"/>
          <w:sz w:val="28"/>
        </w:rPr>
        <w:t>1. Минералогия</w:t>
      </w:r>
    </w:p>
    <w:p w:rsidR="00F86D74" w:rsidRPr="00445734" w:rsidRDefault="00F86D74" w:rsidP="00445734">
      <w:pPr>
        <w:pStyle w:val="Style7"/>
        <w:keepNext/>
        <w:spacing w:line="360" w:lineRule="auto"/>
        <w:ind w:firstLine="720"/>
        <w:jc w:val="center"/>
        <w:rPr>
          <w:b/>
          <w:sz w:val="28"/>
          <w:szCs w:val="20"/>
        </w:rPr>
      </w:pPr>
    </w:p>
    <w:p w:rsidR="00F86D74" w:rsidRPr="00445734" w:rsidRDefault="0044573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>1.1 Минералогия золота</w:t>
      </w:r>
    </w:p>
    <w:p w:rsidR="00B563B6" w:rsidRPr="00445734" w:rsidRDefault="00B563B6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Самородное золото является без сомнения самой значительной золотосодержащей фазой большинства золотых эпитермальных месторождений. Однако оно обычно содержит значительные количества серебра и чаще описывается как электрум (более 20 вес.</w:t>
      </w:r>
      <w:r w:rsidR="00B563B6" w:rsidRPr="00445734">
        <w:rPr>
          <w:rStyle w:val="FontStyle17"/>
          <w:sz w:val="28"/>
        </w:rPr>
        <w:t>%</w:t>
      </w:r>
      <w:r w:rsidRPr="00445734">
        <w:rPr>
          <w:rStyle w:val="FontStyle17"/>
          <w:sz w:val="28"/>
        </w:rPr>
        <w:t xml:space="preserve"> серебра; </w:t>
      </w:r>
      <w:r w:rsidRPr="00445734">
        <w:rPr>
          <w:rStyle w:val="FontStyle17"/>
          <w:sz w:val="28"/>
          <w:lang w:val="en-US"/>
        </w:rPr>
        <w:t>Boyle</w:t>
      </w:r>
      <w:r w:rsidRPr="00445734">
        <w:rPr>
          <w:rStyle w:val="FontStyle17"/>
          <w:sz w:val="28"/>
        </w:rPr>
        <w:t>, 1979), хотя некоторые авторы используют этот термин для всех смесей золота/серебра. Золото (и электрум) могут также содержать медь, ртуть, платиноиды и другие металлы, или в твёрдых растворах или в виде субмикроскопических включений. Обычно эти элементы присутствуют в небольших количествах, редко превышая 10 вес.</w:t>
      </w:r>
      <w:r w:rsidR="00B563B6" w:rsidRPr="00445734">
        <w:rPr>
          <w:rStyle w:val="FontStyle17"/>
          <w:sz w:val="28"/>
        </w:rPr>
        <w:t>%</w:t>
      </w:r>
      <w:r w:rsidRPr="00445734">
        <w:rPr>
          <w:rStyle w:val="FontStyle17"/>
          <w:sz w:val="28"/>
        </w:rPr>
        <w:t>.</w:t>
      </w:r>
    </w:p>
    <w:p w:rsidR="00F86D74" w:rsidRPr="00445734" w:rsidRDefault="00F86D74" w:rsidP="00445734">
      <w:pPr>
        <w:pStyle w:val="Style5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Имеются другие минералы, в которых золото является существенным компонентом (табл. 12.1), но их тренды отмечаются редко. Теллуриды золота в большинстве месторождений встречаются реже, но в некоторых, таких как Ватукоула на о.Фиджи, они являются основными рудами. Теллуриды не встречаются в порфировых месторождениях, за исключением наложений последней стадии. Сульфиды, селениды и антимониды золота очень редки.</w:t>
      </w:r>
    </w:p>
    <w:p w:rsidR="00445734" w:rsidRDefault="00445734" w:rsidP="00445734">
      <w:pPr>
        <w:pStyle w:val="Style6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6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Таблица 1</w:t>
      </w:r>
    </w:p>
    <w:p w:rsidR="00F86D74" w:rsidRPr="00445734" w:rsidRDefault="00F86D74" w:rsidP="00445734">
      <w:pPr>
        <w:pStyle w:val="Style7"/>
        <w:keepNext/>
        <w:spacing w:line="360" w:lineRule="auto"/>
        <w:ind w:firstLine="720"/>
        <w:jc w:val="both"/>
        <w:rPr>
          <w:rStyle w:val="FontStyle15"/>
          <w:b w:val="0"/>
          <w:sz w:val="28"/>
        </w:rPr>
      </w:pPr>
      <w:r w:rsidRPr="00445734">
        <w:rPr>
          <w:rStyle w:val="FontStyle15"/>
          <w:b w:val="0"/>
          <w:sz w:val="28"/>
        </w:rPr>
        <w:t>Минералы золота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2246"/>
      </w:tblGrid>
      <w:tr w:rsidR="00F86D74" w:rsidRPr="00445734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9"/>
              <w:keepNext/>
              <w:spacing w:line="360" w:lineRule="auto"/>
              <w:jc w:val="both"/>
              <w:rPr>
                <w:rStyle w:val="FontStyle15"/>
                <w:b w:val="0"/>
                <w:sz w:val="20"/>
                <w:szCs w:val="20"/>
              </w:rPr>
            </w:pPr>
            <w:r w:rsidRPr="00445734">
              <w:rPr>
                <w:rStyle w:val="FontStyle15"/>
                <w:b w:val="0"/>
                <w:sz w:val="20"/>
                <w:szCs w:val="20"/>
              </w:rPr>
              <w:t>Название минерала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9"/>
              <w:keepNext/>
              <w:spacing w:line="360" w:lineRule="auto"/>
              <w:jc w:val="both"/>
              <w:rPr>
                <w:rStyle w:val="FontStyle15"/>
                <w:b w:val="0"/>
                <w:sz w:val="20"/>
                <w:szCs w:val="20"/>
              </w:rPr>
            </w:pPr>
            <w:r w:rsidRPr="00445734">
              <w:rPr>
                <w:rStyle w:val="FontStyle15"/>
                <w:b w:val="0"/>
                <w:sz w:val="20"/>
                <w:szCs w:val="20"/>
              </w:rPr>
              <w:t>Формула</w:t>
            </w:r>
          </w:p>
        </w:tc>
      </w:tr>
      <w:tr w:rsidR="00F86D74" w:rsidRPr="00445734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Золото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Серебряное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(Au,Ag)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Медистое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(Au,Cu)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Палладистое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(Au,Pd)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Родистое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(Au,Rh)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Иридистое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(Au,Ir)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Платиновое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(Au,Pt)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Висмутистое золото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(AU,Bi)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Золотая амальгама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AuHg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3(?)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Малдонит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</w:t>
            </w:r>
            <w:r w:rsidRPr="00445734">
              <w:rPr>
                <w:rStyle w:val="FontStyle17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Bi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Аурикуприт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vertAlign w:val="subscript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AuCu</w:t>
            </w:r>
            <w:r w:rsidRPr="00445734">
              <w:rPr>
                <w:rStyle w:val="FontStyle17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Тетрааурикуприт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AuCu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Палладиевый купроаурит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(Cu,Pd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)3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Уитебогаардит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Ag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3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AuS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Калаверит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AuTe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Креннерит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(Au,Ag)Te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Монтбрайит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(Au,Sb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)2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Te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3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Перзит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8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3"/>
                <w:sz w:val="20"/>
                <w:szCs w:val="20"/>
                <w:vertAlign w:val="superscript"/>
                <w:lang w:val="en-US" w:eastAsia="en-US"/>
              </w:rPr>
              <w:t>Ag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3</w:t>
            </w:r>
            <w:r w:rsidRPr="00445734">
              <w:rPr>
                <w:rStyle w:val="FontStyle13"/>
                <w:sz w:val="20"/>
                <w:szCs w:val="20"/>
                <w:vertAlign w:val="superscript"/>
                <w:lang w:val="en-US" w:eastAsia="en-US"/>
              </w:rPr>
              <w:t>AuTe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Мутманнит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(Ag,Au)Te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Силванит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(Au,Ag)Te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4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Костовит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AuCuTe4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Нагиягит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Pb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5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Au(Te,Sb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)4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S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5-8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Ауростибит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AuSb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  <w:tr w:rsidR="00F86D74" w:rsidRPr="00445734">
        <w:tc>
          <w:tcPr>
            <w:tcW w:w="3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7"/>
                <w:sz w:val="20"/>
                <w:szCs w:val="20"/>
              </w:rPr>
            </w:pPr>
            <w:r w:rsidRPr="00445734">
              <w:rPr>
                <w:rStyle w:val="FontStyle17"/>
                <w:sz w:val="20"/>
                <w:szCs w:val="20"/>
              </w:rPr>
              <w:t>Фишессерит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D74" w:rsidRPr="00445734" w:rsidRDefault="00F86D74" w:rsidP="00445734">
            <w:pPr>
              <w:pStyle w:val="Style10"/>
              <w:keepNext/>
              <w:spacing w:line="360" w:lineRule="auto"/>
              <w:jc w:val="both"/>
              <w:rPr>
                <w:rStyle w:val="FontStyle13"/>
                <w:sz w:val="20"/>
                <w:szCs w:val="20"/>
                <w:lang w:val="en-US" w:eastAsia="en-US"/>
              </w:rPr>
            </w:pP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Ag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3</w:t>
            </w:r>
            <w:r w:rsidRPr="00445734">
              <w:rPr>
                <w:rStyle w:val="FontStyle17"/>
                <w:sz w:val="20"/>
                <w:szCs w:val="20"/>
                <w:lang w:val="en-US" w:eastAsia="en-US"/>
              </w:rPr>
              <w:t>AuSe</w:t>
            </w:r>
            <w:r w:rsidRPr="00445734">
              <w:rPr>
                <w:rStyle w:val="FontStyle13"/>
                <w:sz w:val="20"/>
                <w:szCs w:val="20"/>
                <w:lang w:val="en-US" w:eastAsia="en-US"/>
              </w:rPr>
              <w:t>2</w:t>
            </w:r>
          </w:p>
        </w:tc>
      </w:tr>
    </w:tbl>
    <w:p w:rsidR="00B563B6" w:rsidRPr="00445734" w:rsidRDefault="00B563B6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Твёрдые замещения золота встречаются в других минеральных фазах, но они не имеют значений в качестве руд. Самородное золото отмечается в виде небольших включений в других минералах и в большинстве практических случаев может рассматриваться как примесь. Оно более значительно в порфировых и </w:t>
      </w:r>
      <w:r w:rsidRPr="00445734">
        <w:rPr>
          <w:rStyle w:val="FontStyle17"/>
          <w:sz w:val="28"/>
          <w:lang w:val="en-US"/>
        </w:rPr>
        <w:t>VHMS</w:t>
      </w:r>
      <w:r w:rsidRPr="00445734">
        <w:rPr>
          <w:rStyle w:val="FontStyle17"/>
          <w:sz w:val="28"/>
        </w:rPr>
        <w:t xml:space="preserve"> месторождениях, чем в мало глубинных эпитермальных системах. Арсенопирит является наиболее обычным вмещающим минералом золота в гипогенных месторождениях, за которым следуют другие сульфиды, тогда как окислы железа и марганца (наряду с глинами) являются важными вмещающими минералами в супергенных месторождениях.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Состав электрума изменяется значительно в разных месторождениях и типах месторождений, в пределах одного месторождения и даже в отдельных зёрнах (до 40 вес.%; </w:t>
      </w:r>
      <w:r w:rsidRPr="00445734">
        <w:rPr>
          <w:rStyle w:val="FontStyle17"/>
          <w:sz w:val="28"/>
          <w:lang w:val="en-US"/>
        </w:rPr>
        <w:t>Shikazono</w:t>
      </w:r>
      <w:r w:rsidRPr="00445734">
        <w:rPr>
          <w:rStyle w:val="FontStyle17"/>
          <w:sz w:val="28"/>
        </w:rPr>
        <w:t xml:space="preserve">, 1985). Состав электрума можно использовать для реконструкции условий рудной минерализации, поскольку его образование зависит от температуры, рН и растворённых концентраций золота, серебра, серы </w:t>
      </w:r>
      <w:r w:rsidRPr="00445734">
        <w:rPr>
          <w:rStyle w:val="FontStyle17"/>
          <w:sz w:val="28"/>
          <w:lang w:val="en-US"/>
        </w:rPr>
        <w:t>faS</w:t>
      </w:r>
      <w:r w:rsidRPr="00445734">
        <w:rPr>
          <w:rStyle w:val="FontStyle17"/>
          <w:sz w:val="28"/>
          <w:vertAlign w:val="subscript"/>
        </w:rPr>
        <w:t>2</w:t>
      </w:r>
      <w:r w:rsidRPr="00445734">
        <w:rPr>
          <w:rStyle w:val="FontStyle17"/>
          <w:sz w:val="28"/>
        </w:rPr>
        <w:t>), кислорода ^О</w:t>
      </w:r>
      <w:r w:rsidRPr="00445734">
        <w:rPr>
          <w:rStyle w:val="FontStyle17"/>
          <w:sz w:val="28"/>
          <w:vertAlign w:val="subscript"/>
        </w:rPr>
        <w:t>2</w:t>
      </w:r>
      <w:r w:rsidRPr="00445734">
        <w:rPr>
          <w:rStyle w:val="FontStyle17"/>
          <w:sz w:val="28"/>
        </w:rPr>
        <w:t>) и хлора в рудообразующих гидротермах (</w:t>
      </w:r>
      <w:r w:rsidRPr="00445734">
        <w:rPr>
          <w:rStyle w:val="FontStyle17"/>
          <w:sz w:val="28"/>
          <w:lang w:val="en-US"/>
        </w:rPr>
        <w:t>Gammons</w:t>
      </w:r>
      <w:r w:rsidRPr="00445734">
        <w:rPr>
          <w:rStyle w:val="FontStyle17"/>
          <w:sz w:val="28"/>
        </w:rPr>
        <w:t xml:space="preserve">, </w:t>
      </w:r>
      <w:r w:rsidRPr="00445734">
        <w:rPr>
          <w:rStyle w:val="FontStyle17"/>
          <w:sz w:val="28"/>
          <w:lang w:val="en-US"/>
        </w:rPr>
        <w:t>Williams</w:t>
      </w:r>
      <w:r w:rsidRPr="00445734">
        <w:rPr>
          <w:rStyle w:val="FontStyle17"/>
          <w:sz w:val="28"/>
        </w:rPr>
        <w:t>-</w:t>
      </w:r>
      <w:r w:rsidRPr="00445734">
        <w:rPr>
          <w:rStyle w:val="FontStyle17"/>
          <w:sz w:val="28"/>
          <w:lang w:val="en-US"/>
        </w:rPr>
        <w:t>Jones</w:t>
      </w:r>
      <w:r w:rsidRPr="00445734">
        <w:rPr>
          <w:rStyle w:val="FontStyle17"/>
          <w:sz w:val="28"/>
        </w:rPr>
        <w:t>, 1995). В общем, высокому содержанию золота в электруме благоприятствуют низкий рН, высокие температуры, высокие аS</w:t>
      </w:r>
      <w:r w:rsidRPr="00445734">
        <w:rPr>
          <w:rStyle w:val="FontStyle17"/>
          <w:sz w:val="28"/>
          <w:vertAlign w:val="subscript"/>
        </w:rPr>
        <w:t>2</w:t>
      </w:r>
      <w:r w:rsidRPr="00445734">
        <w:rPr>
          <w:rStyle w:val="FontStyle17"/>
          <w:sz w:val="28"/>
        </w:rPr>
        <w:t>, аО</w:t>
      </w:r>
      <w:r w:rsidRPr="00445734">
        <w:rPr>
          <w:rStyle w:val="FontStyle13"/>
          <w:sz w:val="28"/>
        </w:rPr>
        <w:t xml:space="preserve">2, </w:t>
      </w:r>
      <w:r w:rsidRPr="00445734">
        <w:rPr>
          <w:rStyle w:val="FontStyle17"/>
          <w:sz w:val="28"/>
        </w:rPr>
        <w:t xml:space="preserve">высокий </w:t>
      </w:r>
      <w:r w:rsidRPr="00445734">
        <w:rPr>
          <w:rStyle w:val="FontStyle17"/>
          <w:sz w:val="28"/>
          <w:lang w:val="en-US"/>
        </w:rPr>
        <w:t>Cl</w:t>
      </w:r>
      <w:r w:rsidRPr="00445734">
        <w:rPr>
          <w:rStyle w:val="FontStyle17"/>
          <w:sz w:val="28"/>
        </w:rPr>
        <w:t xml:space="preserve">-, высокие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растворах и присутствие теллуридов и других минералов, содержащих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. Поскольку серебро преимущественно поглощается теллуридными минералами, то золото, которое встречается в самородной форме в месторождениях, богатых теллуром (т.н. Ватукоула, Фиджи), очень чистое (обычно &gt; 95%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).</w:t>
      </w:r>
    </w:p>
    <w:p w:rsidR="00F86D7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При умеренных температурах (&lt; 400°С) хлоридные гидротермы будут обычно отлагать электрум с более высокими содержаниями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, чем бисульфидные гидротермы (рис. 12.1, А, В). </w:t>
      </w:r>
      <w:r w:rsidRPr="00445734">
        <w:rPr>
          <w:rStyle w:val="FontStyle17"/>
          <w:sz w:val="28"/>
          <w:lang w:val="en-US"/>
        </w:rPr>
        <w:t>Spycher</w:t>
      </w:r>
      <w:r w:rsidRPr="00445734">
        <w:rPr>
          <w:rStyle w:val="FontStyle17"/>
          <w:sz w:val="28"/>
        </w:rPr>
        <w:t xml:space="preserve">, </w:t>
      </w:r>
      <w:r w:rsidRPr="00445734">
        <w:rPr>
          <w:rStyle w:val="FontStyle17"/>
          <w:sz w:val="28"/>
          <w:lang w:val="en-US"/>
        </w:rPr>
        <w:t>Reed</w:t>
      </w:r>
      <w:r w:rsidRPr="00445734">
        <w:rPr>
          <w:rStyle w:val="FontStyle17"/>
          <w:sz w:val="28"/>
        </w:rPr>
        <w:t xml:space="preserve"> (1995) рассчитали, что обычные гидротермы Бродландс будут отлагать электрум, богатый серебром (средняя пробность 300) при кипении, а электрум, богатый золотом (пробность 700), отлагается при смешивании этих гидротерм с кислыми водами. Кроме того, состав электрума, отложенного из гидротерм, изменяется во времени. Количество и направление этих вариаций зависит от первичных отношений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гидротермах, условий отложения (рис. 12.2) и также от отложения других минералов серебра.</w:t>
      </w:r>
    </w:p>
    <w:p w:rsidR="00F86D74" w:rsidRPr="00445734" w:rsidRDefault="00445734" w:rsidP="00445734">
      <w:pPr>
        <w:pStyle w:val="Style4"/>
        <w:keepNext/>
        <w:spacing w:line="360" w:lineRule="auto"/>
        <w:ind w:firstLine="720"/>
        <w:rPr>
          <w:sz w:val="28"/>
        </w:rPr>
      </w:pPr>
      <w:r>
        <w:rPr>
          <w:rStyle w:val="FontStyle17"/>
          <w:sz w:val="28"/>
        </w:rPr>
        <w:br w:type="page"/>
      </w:r>
      <w:r w:rsidR="0076320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98.25pt">
            <v:imagedata r:id="rId6" o:title=""/>
          </v:shape>
        </w:pict>
      </w:r>
    </w:p>
    <w:p w:rsidR="00F86D74" w:rsidRPr="00445734" w:rsidRDefault="00763203" w:rsidP="00445734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389.25pt;height:311.25pt">
            <v:imagedata r:id="rId7" o:title=""/>
          </v:shape>
        </w:pict>
      </w:r>
    </w:p>
    <w:p w:rsidR="00F86D74" w:rsidRPr="00445734" w:rsidRDefault="0044573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>1.2 Минералогия серебра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Поскольку химия серебра и золота очень похожая, то для каждого соединения золота имеется соответствующий минерал серебра. Однако серебро химически активнее по сравнению с золотом и, таким образом, оно образует более широкий диапазон других соединений. Вероятно, серебро значительно чаще примешивается к другим соединениям, таким как галенит, сульфиды меди и сульфасоли. Другим важным отличием серебра является его способность образовывать супергенные полигалиды (т. н. сераргирит) в аридных условиях. Это может затруднять признание серебра в качестве потенциальной руды, особенно в сильно окисленных породах.</w:t>
      </w:r>
    </w:p>
    <w:p w:rsidR="00F86D74" w:rsidRPr="00445734" w:rsidRDefault="00445734" w:rsidP="00445734">
      <w:pPr>
        <w:pStyle w:val="Style2"/>
        <w:keepNext/>
        <w:spacing w:line="360" w:lineRule="auto"/>
        <w:ind w:firstLine="720"/>
        <w:jc w:val="center"/>
        <w:rPr>
          <w:rStyle w:val="FontStyle14"/>
          <w:sz w:val="28"/>
        </w:rPr>
      </w:pPr>
      <w:r>
        <w:rPr>
          <w:rStyle w:val="FontStyle14"/>
          <w:b w:val="0"/>
          <w:sz w:val="28"/>
        </w:rPr>
        <w:br w:type="page"/>
      </w:r>
      <w:r w:rsidR="00F86D74" w:rsidRPr="00445734">
        <w:rPr>
          <w:rStyle w:val="FontStyle14"/>
          <w:sz w:val="28"/>
        </w:rPr>
        <w:t>2 Золото в орште</w:t>
      </w:r>
      <w:r>
        <w:rPr>
          <w:rStyle w:val="FontStyle14"/>
          <w:sz w:val="28"/>
        </w:rPr>
        <w:t>йновых (почвенных) концентратах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Многие золотые рудопроявления впервые идентифицированы при опробовании отложений региональной речной сети, которые показали районы дренирования и отложения аномального золота. Тщательное исследование как золота, а также других тяжелых минералов в пробах орштейновых концентратов, могут дать полезную информацию о типе золотой минерализации в районе на самой ранней стадии разведки.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Расстояние, на которое переносились зёрна золота от источника речной системой, может рассчитываться по форме и относительной степени окатанности частиц золота, а также по степени вторичного обогащения (примеры из </w:t>
      </w:r>
      <w:r w:rsidRPr="00445734">
        <w:rPr>
          <w:rStyle w:val="FontStyle17"/>
          <w:sz w:val="28"/>
          <w:lang w:val="en-US"/>
        </w:rPr>
        <w:t>Youngson</w:t>
      </w:r>
      <w:r w:rsidRPr="00445734">
        <w:rPr>
          <w:rStyle w:val="FontStyle17"/>
          <w:sz w:val="28"/>
        </w:rPr>
        <w:t xml:space="preserve">, </w:t>
      </w:r>
      <w:r w:rsidRPr="00445734">
        <w:rPr>
          <w:rStyle w:val="FontStyle17"/>
          <w:sz w:val="28"/>
          <w:lang w:val="en-US"/>
        </w:rPr>
        <w:t>Craw</w:t>
      </w:r>
      <w:r w:rsidRPr="00445734">
        <w:rPr>
          <w:rStyle w:val="FontStyle17"/>
          <w:sz w:val="28"/>
        </w:rPr>
        <w:t xml:space="preserve">, 1999; </w:t>
      </w:r>
      <w:r w:rsidRPr="00445734">
        <w:rPr>
          <w:rStyle w:val="FontStyle17"/>
          <w:sz w:val="28"/>
          <w:lang w:val="en-US"/>
        </w:rPr>
        <w:t>Knight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7"/>
          <w:sz w:val="28"/>
          <w:lang w:val="en-US"/>
        </w:rPr>
        <w:t>et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7"/>
          <w:sz w:val="28"/>
          <w:lang w:val="en-US"/>
        </w:rPr>
        <w:t>al</w:t>
      </w:r>
      <w:r w:rsidRPr="00445734">
        <w:rPr>
          <w:rStyle w:val="FontStyle17"/>
          <w:sz w:val="28"/>
        </w:rPr>
        <w:t>., 1999</w:t>
      </w:r>
      <w:r w:rsidRPr="00445734">
        <w:rPr>
          <w:rStyle w:val="FontStyle17"/>
          <w:sz w:val="28"/>
          <w:lang w:val="en-US"/>
        </w:rPr>
        <w:t>a</w:t>
      </w:r>
      <w:r w:rsidRPr="00445734">
        <w:rPr>
          <w:rStyle w:val="FontStyle17"/>
          <w:sz w:val="28"/>
        </w:rPr>
        <w:t>). Электрум нестабилен в условиях окисления, которые преобладают при сильном выветривании и в аллювии. Серебро удаляется по мере того, как хлоридные комплексы серебра и частицы обогащаются золотом. Более продолговатые частицы остаются в аллювии или в элювии. Более толстые зёрна (или цемент в сложных по составу частицах) будут содержать больше золота по краям (</w:t>
      </w:r>
      <w:r w:rsidRPr="00445734">
        <w:rPr>
          <w:rStyle w:val="FontStyle17"/>
          <w:sz w:val="28"/>
          <w:lang w:val="en-US"/>
        </w:rPr>
        <w:t>Knight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7"/>
          <w:sz w:val="28"/>
          <w:lang w:val="en-US"/>
        </w:rPr>
        <w:t>et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7"/>
          <w:sz w:val="28"/>
          <w:lang w:val="en-US"/>
        </w:rPr>
        <w:t>al</w:t>
      </w:r>
      <w:r w:rsidRPr="00445734">
        <w:rPr>
          <w:rStyle w:val="FontStyle17"/>
          <w:sz w:val="28"/>
        </w:rPr>
        <w:t>., 199</w:t>
      </w:r>
      <w:r w:rsidRPr="00445734">
        <w:rPr>
          <w:rStyle w:val="FontStyle17"/>
          <w:sz w:val="28"/>
          <w:lang w:val="en-US"/>
        </w:rPr>
        <w:t>b</w:t>
      </w:r>
      <w:r w:rsidRPr="00445734">
        <w:rPr>
          <w:rStyle w:val="FontStyle17"/>
          <w:sz w:val="28"/>
        </w:rPr>
        <w:t>).</w:t>
      </w:r>
    </w:p>
    <w:p w:rsidR="00F86D7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Состав золота и, связанные с ним тяжелые минералы (как сульфиды, так и силикатные фазы), могут использоваться при характеристике типа золотого месторождения. Любой тип месторождения и вмещающие породы буду иметь характерный состав минеральных комплексов. Некоторые их этих минералов будут сохраняться в орштейновых концентратах и указывать на их происхождение. Минералы, содержащиеся в частицах золота, могут обладать диагностическими признаками. Так, например, золото, образованное в медно-золотых скарнах, обычно имеет высокие концентрации </w:t>
      </w:r>
      <w:r w:rsidRPr="00445734">
        <w:rPr>
          <w:rStyle w:val="FontStyle17"/>
          <w:sz w:val="28"/>
          <w:lang w:val="en-US"/>
        </w:rPr>
        <w:t>Cu</w:t>
      </w:r>
      <w:r w:rsidRPr="00445734">
        <w:rPr>
          <w:rStyle w:val="FontStyle17"/>
          <w:sz w:val="28"/>
        </w:rPr>
        <w:t xml:space="preserve"> и </w:t>
      </w:r>
      <w:r w:rsidRPr="00445734">
        <w:rPr>
          <w:rStyle w:val="FontStyle17"/>
          <w:sz w:val="28"/>
          <w:lang w:val="en-US"/>
        </w:rPr>
        <w:t>Pd</w:t>
      </w:r>
      <w:r w:rsidRPr="00445734">
        <w:rPr>
          <w:rStyle w:val="FontStyle17"/>
          <w:sz w:val="28"/>
        </w:rPr>
        <w:t xml:space="preserve">, а в золотых скарнах отмечаются повышенные концентрации </w:t>
      </w:r>
      <w:r w:rsidRPr="00445734">
        <w:rPr>
          <w:rStyle w:val="FontStyle17"/>
          <w:sz w:val="28"/>
          <w:lang w:val="en-US"/>
        </w:rPr>
        <w:t>Hg</w:t>
      </w:r>
      <w:r w:rsidRPr="00445734">
        <w:rPr>
          <w:rStyle w:val="FontStyle17"/>
          <w:sz w:val="28"/>
        </w:rPr>
        <w:t xml:space="preserve"> и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и оно может встречаться с арсенопиритом и </w:t>
      </w:r>
      <w:r w:rsidRPr="00445734">
        <w:rPr>
          <w:rStyle w:val="FontStyle17"/>
          <w:sz w:val="28"/>
          <w:lang w:val="en-US"/>
        </w:rPr>
        <w:t>Bi</w:t>
      </w:r>
      <w:r w:rsidRPr="00445734">
        <w:rPr>
          <w:rStyle w:val="FontStyle17"/>
          <w:sz w:val="28"/>
        </w:rPr>
        <w:t>-</w:t>
      </w:r>
      <w:r w:rsidRPr="00445734">
        <w:rPr>
          <w:rStyle w:val="FontStyle17"/>
          <w:sz w:val="28"/>
          <w:lang w:val="en-US"/>
        </w:rPr>
        <w:t>Te</w:t>
      </w:r>
      <w:r w:rsidRPr="00445734">
        <w:rPr>
          <w:rStyle w:val="FontStyle17"/>
          <w:sz w:val="28"/>
        </w:rPr>
        <w:t xml:space="preserve"> минералами (табл. 12.2). Те и другие месторождения будут сопровождаться другими скарновыми минералами, которые могут быть представлены гранатом, магнетитом, диопсидом, волластонитом, эпидотом и тремолитом.</w:t>
      </w:r>
    </w:p>
    <w:p w:rsidR="00445734" w:rsidRP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763203" w:rsidP="00445734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440.25pt;height:210.75pt">
            <v:imagedata r:id="rId8" o:title=""/>
          </v:shape>
        </w:pict>
      </w:r>
    </w:p>
    <w:p w:rsidR="00F86D74" w:rsidRPr="00445734" w:rsidRDefault="00F86D74" w:rsidP="00445734">
      <w:pPr>
        <w:pStyle w:val="Style2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F86D74" w:rsidRPr="00445734" w:rsidRDefault="00445734" w:rsidP="00445734">
      <w:pPr>
        <w:pStyle w:val="Style2"/>
        <w:keepNext/>
        <w:spacing w:line="360" w:lineRule="auto"/>
        <w:ind w:firstLine="720"/>
        <w:jc w:val="center"/>
        <w:rPr>
          <w:rStyle w:val="FontStyle14"/>
          <w:sz w:val="28"/>
        </w:rPr>
      </w:pPr>
      <w:r>
        <w:rPr>
          <w:rStyle w:val="FontStyle14"/>
          <w:b w:val="0"/>
          <w:sz w:val="28"/>
        </w:rPr>
        <w:br w:type="page"/>
      </w:r>
      <w:r>
        <w:rPr>
          <w:rStyle w:val="FontStyle14"/>
          <w:sz w:val="28"/>
        </w:rPr>
        <w:t>3 Отношения золота к серебру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породе, как в эпитермальных, так и в скарновых месторождениях колеблется в интервале от примерно 100:1 до 0.01:1, но наиболее часто в пределах 10:1 до 0.1:1 (в пробах, где как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, так и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более 1 ррм и, следовательно, и в связи с этим они достаточно точно проанализированы). Однако имеется различия между разными провинциями. Континентальные месторождения часто имеют более высокие содержания серебра и, следовательно, более низкие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чем в месторождения островных дуг. Так, например, многие эпитермальные месторождения запада США и Южной Америки имеют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менее 0.01, т.н. Силвер Пик в Неваде (0.004), тогда как месторождения в районе Коромандел в Новой Зеландии среднее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= 1.0.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Месторождения </w:t>
      </w:r>
      <w:r w:rsidRPr="00445734">
        <w:rPr>
          <w:rStyle w:val="FontStyle17"/>
          <w:sz w:val="28"/>
          <w:lang w:val="en-US"/>
        </w:rPr>
        <w:t>VHMS</w:t>
      </w:r>
      <w:r w:rsidRPr="00445734">
        <w:rPr>
          <w:rStyle w:val="FontStyle17"/>
          <w:sz w:val="28"/>
        </w:rPr>
        <w:t xml:space="preserve"> характеризуются низким отношением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обычно&lt;0.01:1, тогда как месторождения, размещённые в осадочных толщах, обычно имеют большие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часто &gt; 1 (т.н. Мезел на Сулавеси, и Карлин в Неваде). Мезотермальные месторождения обычно имеют низкие содержания серебра и, следовательно, высокие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. Некоторые порфировые месторождения имеют низкое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(в породе), особенно там, где имеется большая примесь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других минералах. В целом,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порфировых месторождениях, богатых золотом, ниже, чем в эпитермальных средах, но это бывает не всегда (т. н. классическое исследовании </w:t>
      </w:r>
      <w:r w:rsidRPr="00445734">
        <w:rPr>
          <w:rStyle w:val="FontStyle17"/>
          <w:sz w:val="28"/>
          <w:lang w:val="en-US"/>
        </w:rPr>
        <w:t>Fisher</w:t>
      </w:r>
      <w:r w:rsidRPr="00445734">
        <w:rPr>
          <w:rStyle w:val="FontStyle17"/>
          <w:sz w:val="28"/>
          <w:vertAlign w:val="superscript"/>
        </w:rPr>
        <w:t>,</w:t>
      </w:r>
      <w:r w:rsidRPr="00445734">
        <w:rPr>
          <w:rStyle w:val="FontStyle17"/>
          <w:sz w:val="28"/>
          <w:lang w:val="en-US"/>
        </w:rPr>
        <w:t>s</w:t>
      </w:r>
      <w:r w:rsidRPr="00445734">
        <w:rPr>
          <w:rStyle w:val="FontStyle17"/>
          <w:sz w:val="28"/>
        </w:rPr>
        <w:t xml:space="preserve"> округа Вау в Папуа Новая Гвинея, 1945). Отношения будут выше там, где есть супергенное обогащение, и в детритовых частицах золота.</w:t>
      </w:r>
    </w:p>
    <w:p w:rsidR="00F86D74" w:rsidRPr="00445734" w:rsidRDefault="00F86D74" w:rsidP="00445734">
      <w:pPr>
        <w:pStyle w:val="Style7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F86D74" w:rsidRPr="00445734" w:rsidRDefault="0044573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>3.1 Контролирующие факторы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Факторы, контролирующие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следующие:</w:t>
      </w:r>
    </w:p>
    <w:p w:rsidR="00F86D74" w:rsidRPr="00445734" w:rsidRDefault="00F86D74" w:rsidP="00445734">
      <w:pPr>
        <w:pStyle w:val="Style6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6"/>
          <w:i w:val="0"/>
          <w:sz w:val="28"/>
        </w:rPr>
        <w:t xml:space="preserve">-Наличие </w:t>
      </w:r>
      <w:r w:rsidRPr="00445734">
        <w:rPr>
          <w:rStyle w:val="FontStyle16"/>
          <w:i w:val="0"/>
          <w:sz w:val="28"/>
          <w:lang w:val="en-US"/>
        </w:rPr>
        <w:t>Au</w:t>
      </w:r>
      <w:r w:rsidRPr="00445734">
        <w:rPr>
          <w:rStyle w:val="FontStyle16"/>
          <w:i w:val="0"/>
          <w:sz w:val="28"/>
        </w:rPr>
        <w:t xml:space="preserve"> и </w:t>
      </w:r>
      <w:r w:rsidRPr="00445734">
        <w:rPr>
          <w:rStyle w:val="FontStyle16"/>
          <w:i w:val="0"/>
          <w:sz w:val="28"/>
          <w:lang w:val="en-US"/>
        </w:rPr>
        <w:t>Ag</w:t>
      </w:r>
      <w:r w:rsidRPr="00445734">
        <w:rPr>
          <w:rStyle w:val="FontStyle16"/>
          <w:i w:val="0"/>
          <w:sz w:val="28"/>
        </w:rPr>
        <w:t xml:space="preserve"> в породе-источнике. </w:t>
      </w:r>
      <w:r w:rsidRPr="00445734">
        <w:rPr>
          <w:rStyle w:val="FontStyle17"/>
          <w:sz w:val="28"/>
        </w:rPr>
        <w:t xml:space="preserve">Обычно это не является важным фактором. </w:t>
      </w:r>
      <w:r w:rsidRPr="00445734">
        <w:rPr>
          <w:rStyle w:val="FontStyle16"/>
          <w:i w:val="0"/>
          <w:sz w:val="28"/>
        </w:rPr>
        <w:t xml:space="preserve">-Природа образования комплексов в растворе. </w:t>
      </w:r>
      <w:r w:rsidRPr="00445734">
        <w:rPr>
          <w:rStyle w:val="FontStyle17"/>
          <w:sz w:val="28"/>
        </w:rPr>
        <w:t xml:space="preserve">Золото переносится в большинстве эпитермальных растворов почти полностью в виде бисульфидов, тогда как серебро переносится, как в виде бисульфидов, так и в виде хлоридных комплексов. В порфировых системах степень хлоридного комплексирования золота может стать более важным фактором. Но даже в этом случае более минерализованные растворы будут стремиться к преимущественному переносу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>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6"/>
          <w:i w:val="0"/>
          <w:sz w:val="28"/>
        </w:rPr>
        <w:t xml:space="preserve">-Относительная растворимость комплексов. </w:t>
      </w:r>
      <w:r w:rsidRPr="00445734">
        <w:rPr>
          <w:rStyle w:val="FontStyle17"/>
          <w:sz w:val="28"/>
        </w:rPr>
        <w:t>Золотые соединения менее растворимы, следовательно, они стремятся отложиться первыми при остывании или других механизмах концентрирования, в то время как серебро переносится дальше.</w:t>
      </w:r>
    </w:p>
    <w:p w:rsidR="00F86D74" w:rsidRPr="00445734" w:rsidRDefault="00F86D74" w:rsidP="00445734">
      <w:pPr>
        <w:pStyle w:val="Style5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6"/>
          <w:i w:val="0"/>
          <w:sz w:val="28"/>
        </w:rPr>
        <w:t xml:space="preserve">-Относительная растворимость фаз сразу после отложения. </w:t>
      </w:r>
      <w:r w:rsidRPr="00445734">
        <w:rPr>
          <w:rStyle w:val="FontStyle17"/>
          <w:sz w:val="28"/>
        </w:rPr>
        <w:t>После отложения золото и его соединения являются менее растворимыми, чем соответствующие отложения серебра и, в связи с этим, золото менее склонно к ремобилизации.</w:t>
      </w:r>
    </w:p>
    <w:p w:rsidR="00F86D74" w:rsidRPr="00445734" w:rsidRDefault="00F86D74" w:rsidP="00445734">
      <w:pPr>
        <w:pStyle w:val="Style5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6"/>
          <w:i w:val="0"/>
          <w:sz w:val="28"/>
        </w:rPr>
        <w:t xml:space="preserve">-Относительная растворимость супергенных комплексов. </w:t>
      </w:r>
      <w:r w:rsidRPr="00445734">
        <w:rPr>
          <w:rStyle w:val="FontStyle17"/>
          <w:sz w:val="28"/>
        </w:rPr>
        <w:t>Как золото, так и серебро могут быть ремобилизованы супергенными процессами, но поскольку соединения серебра растворимы в большинстве условий, то они, по-видимому, должны быть более способны к переносу.</w:t>
      </w:r>
    </w:p>
    <w:p w:rsidR="00F86D74" w:rsidRPr="00445734" w:rsidRDefault="00F86D74" w:rsidP="00445734">
      <w:pPr>
        <w:pStyle w:val="Style5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6"/>
          <w:i w:val="0"/>
          <w:sz w:val="28"/>
        </w:rPr>
        <w:t xml:space="preserve">-Относительная тенденция к очистке другими минералами. </w:t>
      </w:r>
      <w:r w:rsidRPr="00445734">
        <w:rPr>
          <w:rStyle w:val="FontStyle17"/>
          <w:sz w:val="28"/>
        </w:rPr>
        <w:t>Золото, преимущественно, адсорбируется некоторыми минералами, такими как окислы железа и марганца, что приводит к последующему супергенному обогащению.</w:t>
      </w:r>
    </w:p>
    <w:p w:rsidR="00F86D74" w:rsidRDefault="0044573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br w:type="page"/>
        <w:t>3.2 Обычные тренды</w:t>
      </w:r>
    </w:p>
    <w:p w:rsidR="00445734" w:rsidRPr="00445734" w:rsidRDefault="0044573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</w:p>
    <w:p w:rsidR="00F86D74" w:rsidRPr="00445734" w:rsidRDefault="00763203" w:rsidP="00445734">
      <w:pPr>
        <w:keepNext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pict>
          <v:shape id="_x0000_i1028" type="#_x0000_t75" style="width:292.5pt;height:237.75pt;mso-wrap-distance-left:1.9pt;mso-wrap-distance-right:1.9pt" o:allowincell="f">
            <v:imagedata r:id="rId9" o:title=""/>
          </v:shape>
        </w:pict>
      </w:r>
    </w:p>
    <w:p w:rsidR="00F86D74" w:rsidRPr="00445734" w:rsidRDefault="00763203" w:rsidP="00445734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424.5pt;height:256.5pt;mso-wrap-distance-left:1.9pt;mso-wrap-distance-right:1.9pt" o:allowincell="f">
            <v:imagedata r:id="rId10" o:title=""/>
          </v:shape>
        </w:pic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Обычно наблюдаются некоторые тренды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(рис. 12.3), хотя имеются исключения из любого правила. В эпитермальных месторождениях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уменьшается вдоль потока гидротерм, поскольку золото менее растворимо и оно отлагается первым. Соответственно это отношение увеличивается с глубиной в эпитермальных месторождениях (т.н. Сиротан, рис.12.4). Однако в порфировых месторождениях может встречаться противоположный тренд, поскольку в полиметаллических сульфидах содержится большая примесь серебра, которое обычно отлагается вблизи расположенной зоны. В месторождениях </w:t>
      </w:r>
      <w:r w:rsidRPr="00445734">
        <w:rPr>
          <w:rStyle w:val="FontStyle17"/>
          <w:sz w:val="28"/>
          <w:lang w:val="en-US"/>
        </w:rPr>
        <w:t>VHMS</w:t>
      </w:r>
      <w:r w:rsidRPr="00445734">
        <w:rPr>
          <w:rStyle w:val="FontStyle17"/>
          <w:sz w:val="28"/>
        </w:rPr>
        <w:t xml:space="preserve">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обычно очень низкое, потому что степень хлоридного комплексообразования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 морской воде производится минерализованными гидротермами.</w:t>
      </w:r>
    </w:p>
    <w:p w:rsidR="00F86D74" w:rsidRPr="00445734" w:rsidRDefault="00F86D74" w:rsidP="00445734">
      <w:pPr>
        <w:pStyle w:val="Style5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Супергенное обогащение обычно увеличивает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соотношение. Это может быть идентифицировано как обогащение золотом края частиц, а их ядро имеет повышенные концентрации серебра, что в аридных условиях может привести к обогащению золотом вглубь месторождения на 200м (т.н. Тонопах, Невада). В аллювии и элювии эти процессы могут распространиться глубже вследствие мобилизации золота гумидными кислотами, что приводит к формированию сложных частиц или агрегатов, сцементированных золотом высокой пробы (обычно &gt; 99%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).</w:t>
      </w:r>
    </w:p>
    <w:p w:rsidR="00445734" w:rsidRDefault="00445734" w:rsidP="00445734">
      <w:pPr>
        <w:pStyle w:val="Style3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4"/>
          <w:b w:val="0"/>
          <w:sz w:val="28"/>
        </w:rPr>
        <w:br w:type="page"/>
      </w:r>
      <w:r w:rsidR="00F86D74" w:rsidRPr="00445734">
        <w:rPr>
          <w:rStyle w:val="FontStyle14"/>
          <w:sz w:val="28"/>
        </w:rPr>
        <w:t xml:space="preserve">4 Отношения </w:t>
      </w:r>
      <w:r w:rsidR="00F86D74" w:rsidRPr="00445734">
        <w:rPr>
          <w:rStyle w:val="FontStyle14"/>
          <w:sz w:val="28"/>
          <w:lang w:val="en-US"/>
        </w:rPr>
        <w:t>Au</w:t>
      </w:r>
      <w:r w:rsidR="00F86D74" w:rsidRPr="00445734">
        <w:rPr>
          <w:rStyle w:val="FontStyle14"/>
          <w:sz w:val="28"/>
        </w:rPr>
        <w:t>/</w:t>
      </w:r>
      <w:r w:rsidR="00F86D74" w:rsidRPr="00445734">
        <w:rPr>
          <w:rStyle w:val="FontStyle14"/>
          <w:sz w:val="28"/>
          <w:lang w:val="en-US"/>
        </w:rPr>
        <w:t>Ag</w:t>
      </w:r>
      <w:r w:rsidR="00F86D74" w:rsidRPr="00445734">
        <w:rPr>
          <w:rStyle w:val="FontStyle14"/>
          <w:sz w:val="28"/>
        </w:rPr>
        <w:t xml:space="preserve"> в разведке: цели, методы и проблемы</w:t>
      </w:r>
    </w:p>
    <w:p w:rsidR="00445734" w:rsidRDefault="00445734" w:rsidP="00445734">
      <w:pPr>
        <w:pStyle w:val="Style3"/>
        <w:keepNext/>
        <w:spacing w:line="360" w:lineRule="auto"/>
        <w:ind w:firstLine="720"/>
        <w:jc w:val="center"/>
        <w:rPr>
          <w:rStyle w:val="FontStyle15"/>
          <w:sz w:val="28"/>
        </w:rPr>
      </w:pPr>
    </w:p>
    <w:p w:rsidR="00F86D74" w:rsidRPr="00445734" w:rsidRDefault="00445734" w:rsidP="00445734">
      <w:pPr>
        <w:pStyle w:val="Style3"/>
        <w:keepNext/>
        <w:spacing w:line="360" w:lineRule="auto"/>
        <w:ind w:firstLine="720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>4.1 Цели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Возникает вопрос, зачем изучать отношения золота к серебру вообще? Для этого существует несколько причин.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-Обычно данные получают при разведке по программе рутинного ряда и часто могут быть в легко обрабатываемой форме, т.е. компьютерными программами.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-Отдельные абсолютные отношения могут дать ключ к определению природы месторождений и/или расположению проб в рудообразующей системе.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-Тренды данных могут помочь в интерпретации палеогидрологии, т.е. изучением уменьшения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вниз по направлению потока.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-Тренды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могут помочь в интерпретации парагенезисов.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-Вариации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могут помочь в идентификации степени супергенного обогащения и, следовательно, промышленной значимости глубоких уровней месторождения. Если имеется очень высокое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или если окажется, что оно уменьшается с глубиной, то может предполагаться супергенное обогащение. Если это так, то абсолютные содержания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, наблюдаемые в поверхностных пробах или в неглубоких скважинах, могут на глубине не выдерживаться. Если, с другой стороны, имеется низкое отношение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>, то супергенное обогащение мало вероятно, и может быть большая уверенность сохранение концентраций на глубине.</w:t>
      </w:r>
    </w:p>
    <w:p w:rsidR="00F86D74" w:rsidRPr="00445734" w:rsidRDefault="00F86D74" w:rsidP="00445734">
      <w:pPr>
        <w:pStyle w:val="Style7"/>
        <w:keepNext/>
        <w:spacing w:line="360" w:lineRule="auto"/>
        <w:ind w:firstLine="720"/>
        <w:jc w:val="both"/>
        <w:rPr>
          <w:sz w:val="28"/>
          <w:szCs w:val="20"/>
        </w:rPr>
      </w:pPr>
    </w:p>
    <w:p w:rsidR="00F86D74" w:rsidRPr="00445734" w:rsidRDefault="00F86D74" w:rsidP="00445734">
      <w:pPr>
        <w:pStyle w:val="Style7"/>
        <w:keepNext/>
        <w:spacing w:line="360" w:lineRule="auto"/>
        <w:ind w:firstLine="720"/>
        <w:jc w:val="center"/>
        <w:rPr>
          <w:rStyle w:val="FontStyle15"/>
          <w:sz w:val="28"/>
        </w:rPr>
      </w:pPr>
      <w:r w:rsidRPr="00445734">
        <w:rPr>
          <w:rStyle w:val="FontStyle15"/>
          <w:sz w:val="28"/>
        </w:rPr>
        <w:t>4.2 Проблемы/пр</w:t>
      </w:r>
      <w:r w:rsidR="00445734">
        <w:rPr>
          <w:rStyle w:val="FontStyle15"/>
          <w:sz w:val="28"/>
        </w:rPr>
        <w:t>едположения</w:t>
      </w:r>
    </w:p>
    <w:p w:rsidR="00445734" w:rsidRDefault="0044573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Важно отличать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3"/>
          <w:sz w:val="28"/>
        </w:rPr>
        <w:t xml:space="preserve">(в </w:t>
      </w:r>
      <w:r w:rsidRPr="00445734">
        <w:rPr>
          <w:rStyle w:val="FontStyle16"/>
          <w:i w:val="0"/>
          <w:sz w:val="28"/>
        </w:rPr>
        <w:t xml:space="preserve">породе) </w:t>
      </w:r>
      <w:r w:rsidRPr="00445734">
        <w:rPr>
          <w:rStyle w:val="FontStyle17"/>
          <w:sz w:val="28"/>
        </w:rPr>
        <w:t xml:space="preserve">и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</w:t>
      </w:r>
      <w:r w:rsidRPr="00445734">
        <w:rPr>
          <w:rStyle w:val="FontStyle16"/>
          <w:i w:val="0"/>
          <w:sz w:val="28"/>
        </w:rPr>
        <w:t xml:space="preserve">(в отдельном минерале). </w:t>
      </w:r>
      <w:r w:rsidRPr="00445734">
        <w:rPr>
          <w:rStyle w:val="FontStyle17"/>
          <w:sz w:val="28"/>
        </w:rPr>
        <w:t xml:space="preserve">Последнее обычно представляется, как </w:t>
      </w:r>
      <w:r w:rsidRPr="00445734">
        <w:rPr>
          <w:rStyle w:val="FontStyle16"/>
          <w:i w:val="0"/>
          <w:sz w:val="28"/>
        </w:rPr>
        <w:t xml:space="preserve">пробность </w:t>
      </w:r>
      <w:r w:rsidRPr="00445734">
        <w:rPr>
          <w:rStyle w:val="FontStyle17"/>
          <w:sz w:val="28"/>
        </w:rPr>
        <w:t xml:space="preserve">золота, рассчитанная по 1000 х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/(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 +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), где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 и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определяются весом. Оба отношения могут быть важными, но два разных ряда данных нельзя смешивать, так как имеется значительно более высокая тенденция серебра быть в примеси в других минералах, таких как галенит. Так же важно понимание исторических данных. Если данные представляют рудничную статистику на миллиард выработки, то они могут серьезно занизить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поскольку добыча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, обычно, существенно менее полная, чем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. Это также применяется к данным </w:t>
      </w:r>
      <w:r w:rsidRPr="00445734">
        <w:rPr>
          <w:rStyle w:val="FontStyle16"/>
          <w:i w:val="0"/>
          <w:sz w:val="28"/>
        </w:rPr>
        <w:t xml:space="preserve">«пробности золота», </w:t>
      </w:r>
      <w:r w:rsidRPr="00445734">
        <w:rPr>
          <w:rStyle w:val="FontStyle17"/>
          <w:sz w:val="28"/>
        </w:rPr>
        <w:t xml:space="preserve">которые часто относятся к добытой или очищенной продукции. Пробы или с очень низким содержанием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 xml:space="preserve"> или с очень низким содержанием 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(или тем и другим) не должны включаться в ряд данных, поскольку небольшие аналитические ошибки могут образовать большую неточность.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 xml:space="preserve">При изучении отношения </w:t>
      </w:r>
      <w:r w:rsidRPr="00445734">
        <w:rPr>
          <w:rStyle w:val="FontStyle17"/>
          <w:sz w:val="28"/>
          <w:lang w:val="en-US"/>
        </w:rPr>
        <w:t>Au</w:t>
      </w:r>
      <w:r w:rsidRPr="00445734">
        <w:rPr>
          <w:rStyle w:val="FontStyle17"/>
          <w:sz w:val="28"/>
        </w:rPr>
        <w:t>/</w:t>
      </w:r>
      <w:r w:rsidRPr="00445734">
        <w:rPr>
          <w:rStyle w:val="FontStyle17"/>
          <w:sz w:val="28"/>
          <w:lang w:val="en-US"/>
        </w:rPr>
        <w:t>Ag</w:t>
      </w:r>
      <w:r w:rsidRPr="00445734">
        <w:rPr>
          <w:rStyle w:val="FontStyle17"/>
          <w:sz w:val="28"/>
        </w:rPr>
        <w:t xml:space="preserve"> должны рассматриваться следующие аспекты.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-Анализируются породы или другие источники? Оба вида анализов полезны, но нельзя их смешивать.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-Каков интервал опробования? Как очень большие пробы (валовые пробы), так и очень маленькие пробы (микрозондовый анализ) могут быть ограниченно ценными. Маленькие пробы могут привести к обнаружению самородка вследствие неоднородного опробования.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-Сопоставляются ли разные события рудообразования? Наряду с другими петрологическими методами, важно установить сравниваются ли данные одних и тех же событий.</w:t>
      </w:r>
    </w:p>
    <w:p w:rsidR="00F86D74" w:rsidRPr="00445734" w:rsidRDefault="00F86D74" w:rsidP="00445734">
      <w:pPr>
        <w:pStyle w:val="Style4"/>
        <w:keepNext/>
        <w:spacing w:line="360" w:lineRule="auto"/>
        <w:ind w:firstLine="720"/>
        <w:rPr>
          <w:rStyle w:val="FontStyle17"/>
          <w:sz w:val="28"/>
        </w:rPr>
      </w:pPr>
      <w:r w:rsidRPr="00445734">
        <w:rPr>
          <w:rStyle w:val="FontStyle17"/>
          <w:sz w:val="28"/>
        </w:rPr>
        <w:t>-Значительно ли влияние супергенных процессов? Так, например, имеется ли видимое окисление образцов, встречается ли золото в окислах, и имеются ли очень богатые золотом края на золотых частицах?</w:t>
      </w:r>
      <w:bookmarkStart w:id="0" w:name="_GoBack"/>
      <w:bookmarkEnd w:id="0"/>
    </w:p>
    <w:sectPr w:rsidR="00F86D74" w:rsidRPr="00445734" w:rsidSect="00445734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5C" w:rsidRDefault="0027365C">
      <w:r>
        <w:separator/>
      </w:r>
    </w:p>
  </w:endnote>
  <w:endnote w:type="continuationSeparator" w:id="0">
    <w:p w:rsidR="0027365C" w:rsidRDefault="0027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5C" w:rsidRDefault="0027365C">
      <w:r>
        <w:separator/>
      </w:r>
    </w:p>
  </w:footnote>
  <w:footnote w:type="continuationSeparator" w:id="0">
    <w:p w:rsidR="0027365C" w:rsidRDefault="0027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D7D"/>
    <w:rsid w:val="000B5657"/>
    <w:rsid w:val="00146E15"/>
    <w:rsid w:val="0027365C"/>
    <w:rsid w:val="00445734"/>
    <w:rsid w:val="006B236D"/>
    <w:rsid w:val="00763203"/>
    <w:rsid w:val="008E4D7D"/>
    <w:rsid w:val="0099645E"/>
    <w:rsid w:val="00A2774A"/>
    <w:rsid w:val="00B563B6"/>
    <w:rsid w:val="00C11318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50E78BF-30AC-4E8E-B2BA-44708D6C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466" w:lineRule="exact"/>
      <w:ind w:hanging="269"/>
    </w:pPr>
  </w:style>
  <w:style w:type="paragraph" w:customStyle="1" w:styleId="Style4">
    <w:name w:val="Style4"/>
    <w:basedOn w:val="a"/>
    <w:pPr>
      <w:spacing w:line="230" w:lineRule="exact"/>
      <w:ind w:firstLine="859"/>
      <w:jc w:val="both"/>
    </w:pPr>
  </w:style>
  <w:style w:type="paragraph" w:customStyle="1" w:styleId="Style5">
    <w:name w:val="Style5"/>
    <w:basedOn w:val="a"/>
    <w:pPr>
      <w:spacing w:line="230" w:lineRule="exact"/>
      <w:ind w:firstLine="706"/>
      <w:jc w:val="both"/>
    </w:pPr>
  </w:style>
  <w:style w:type="paragraph" w:customStyle="1" w:styleId="Style6">
    <w:name w:val="Style6"/>
    <w:basedOn w:val="a"/>
    <w:pPr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2014-03-13T15:43:00Z</dcterms:created>
  <dcterms:modified xsi:type="dcterms:W3CDTF">2014-03-13T15:43:00Z</dcterms:modified>
</cp:coreProperties>
</file>