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20" w:rsidRPr="006F5EC5" w:rsidRDefault="00BC4020" w:rsidP="006F5EC5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F5EC5">
        <w:rPr>
          <w:sz w:val="28"/>
          <w:szCs w:val="28"/>
        </w:rPr>
        <w:t>ВОЕННО-МЕДИЦИНСКАЯ АКАДЕМИЯ</w:t>
      </w:r>
    </w:p>
    <w:p w:rsidR="00BC4020" w:rsidRPr="006F5EC5" w:rsidRDefault="00BC4020" w:rsidP="006F5EC5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6F5EC5">
        <w:rPr>
          <w:sz w:val="28"/>
          <w:szCs w:val="28"/>
        </w:rPr>
        <w:t>КАФЕДРА АНЕСТЕЗИОЛОГИИ И РЕАНИМАТОЛОГИИ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C4020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5EC5" w:rsidRDefault="006F5EC5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5EC5" w:rsidRDefault="006F5EC5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5EC5" w:rsidRDefault="006F5EC5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5EC5" w:rsidRDefault="006F5EC5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5EC5" w:rsidRPr="006F5EC5" w:rsidRDefault="006F5EC5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C4020" w:rsidRPr="006F5EC5" w:rsidRDefault="00BC4020" w:rsidP="006F5EC5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6F5EC5">
        <w:rPr>
          <w:b/>
          <w:sz w:val="28"/>
          <w:szCs w:val="28"/>
        </w:rPr>
        <w:t>“МИОРЕЛАКСАНТЫ, ИХ ПРИМЕНЕНИЕ В АНЕСТЕЗИОЛОГИИ И РЕАНИМАТОЛОГИИ”</w:t>
      </w:r>
    </w:p>
    <w:p w:rsidR="006F5EC5" w:rsidRPr="006F5EC5" w:rsidRDefault="006F5EC5" w:rsidP="006F5EC5">
      <w:pPr>
        <w:widowControl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Toc528823359"/>
      <w:r w:rsidRPr="006F5EC5">
        <w:rPr>
          <w:b/>
          <w:sz w:val="28"/>
          <w:szCs w:val="28"/>
        </w:rPr>
        <w:t>Содержание:</w:t>
      </w:r>
    </w:p>
    <w:p w:rsidR="006F5EC5" w:rsidRDefault="006F5EC5" w:rsidP="006F5EC5">
      <w:pPr>
        <w:widowControl/>
        <w:spacing w:line="360" w:lineRule="auto"/>
        <w:jc w:val="both"/>
        <w:rPr>
          <w:sz w:val="28"/>
          <w:szCs w:val="28"/>
        </w:rPr>
      </w:pPr>
    </w:p>
    <w:p w:rsidR="006F5EC5" w:rsidRPr="006F5EC5" w:rsidRDefault="006F5EC5" w:rsidP="006F5EC5">
      <w:pPr>
        <w:widowControl/>
        <w:spacing w:line="360" w:lineRule="auto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Введение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1. Общая характеристика и классификация миорелаксантов</w:t>
      </w:r>
      <w:r>
        <w:t xml:space="preserve"> </w:t>
      </w:r>
      <w:r w:rsidRPr="006F5EC5">
        <w:t>по химической структуре и механизму действия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Классификация миорелаксантов по химической структуре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Дериваты стероидов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Атракурий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Таблица 2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Классификация миорелаксантов по механизму</w:t>
      </w:r>
      <w:r w:rsidRPr="006F5EC5">
        <w:tab/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2. Основные</w:t>
      </w:r>
      <w:r>
        <w:t xml:space="preserve"> сведения о структуре и функции </w:t>
      </w:r>
      <w:r w:rsidRPr="006F5EC5">
        <w:t>нейромышечного синапса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3. Механизм действия миорелаксантов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4. Влияние миорелаксантов на основные функциональные</w:t>
      </w:r>
      <w:r w:rsidRPr="006F5EC5">
        <w:tab/>
      </w:r>
      <w:r>
        <w:t xml:space="preserve"> </w:t>
      </w:r>
      <w:r w:rsidRPr="006F5EC5">
        <w:t>сис</w:t>
      </w:r>
      <w:r>
        <w:t>темы организма и обмен веществ.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5. Показа</w:t>
      </w:r>
      <w:r>
        <w:t xml:space="preserve">ния к применению миорелаксантов </w:t>
      </w:r>
      <w:r w:rsidRPr="006F5EC5">
        <w:t>в анестезиологии и реаниматологии.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6. Характеристика основных препаратов,</w:t>
      </w:r>
      <w:r>
        <w:t xml:space="preserve"> методика их применения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7. Контроль за нейромышечной проводимостью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8. Сущность декураризации и методика ее проведения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9. Осложнения, связанные с применением мышечных релаксантов,</w:t>
      </w:r>
      <w:r>
        <w:t xml:space="preserve"> </w:t>
      </w:r>
      <w:r w:rsidRPr="006F5EC5">
        <w:t>их профилактика и лечение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10. Перспективы использования миорелаксантов</w:t>
      </w:r>
      <w:r>
        <w:t xml:space="preserve"> </w:t>
      </w:r>
      <w:r w:rsidRPr="006F5EC5">
        <w:t>в военно-полевых условиях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Литература:</w:t>
      </w:r>
    </w:p>
    <w:p w:rsidR="006F5EC5" w:rsidRPr="006F5EC5" w:rsidRDefault="006F5EC5" w:rsidP="006F5EC5">
      <w:pPr>
        <w:pStyle w:val="1"/>
        <w:spacing w:line="360" w:lineRule="auto"/>
        <w:ind w:firstLine="0"/>
      </w:pPr>
      <w:r w:rsidRPr="006F5EC5">
        <w:t>Преподаватель кафедры анестезиологии и реаниматологии</w:t>
      </w:r>
    </w:p>
    <w:p w:rsidR="00BC4020" w:rsidRPr="006F5EC5" w:rsidRDefault="006F5EC5" w:rsidP="006F5EC5">
      <w:pPr>
        <w:pStyle w:val="1"/>
        <w:spacing w:line="360" w:lineRule="auto"/>
        <w:jc w:val="center"/>
        <w:rPr>
          <w:b/>
        </w:rPr>
      </w:pPr>
      <w:r>
        <w:rPr>
          <w:b/>
        </w:rPr>
        <w:br w:type="page"/>
      </w:r>
      <w:r w:rsidR="00BC4020" w:rsidRPr="006F5EC5">
        <w:rPr>
          <w:b/>
        </w:rPr>
        <w:t>Введение</w:t>
      </w:r>
      <w:bookmarkEnd w:id="0"/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Еще в XVI в. стало известно, что южноамериканские индейцы используют для охоты и войны отравленные стрелы, яд которых - кураре - вызывает смерть из-за паралича дыхательных мышц.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 xml:space="preserve">После того, как в </w:t>
      </w:r>
      <w:smartTag w:uri="urn:schemas-microsoft-com:office:smarttags" w:element="metricconverter">
        <w:smartTagPr>
          <w:attr w:name="ProductID" w:val="1942 г"/>
        </w:smartTagPr>
        <w:r w:rsidRPr="006F5EC5">
          <w:rPr>
            <w:sz w:val="28"/>
            <w:szCs w:val="28"/>
          </w:rPr>
          <w:t>1942 г</w:t>
        </w:r>
      </w:smartTag>
      <w:r w:rsidRPr="006F5EC5">
        <w:rPr>
          <w:sz w:val="28"/>
          <w:szCs w:val="28"/>
        </w:rPr>
        <w:t>. Гарольд Гриффит</w:t>
      </w:r>
      <w:r w:rsidRPr="006F5EC5">
        <w:rPr>
          <w:rStyle w:val="af"/>
          <w:sz w:val="28"/>
          <w:szCs w:val="28"/>
        </w:rPr>
        <w:footnoteReference w:id="1"/>
      </w:r>
      <w:r w:rsidRPr="006F5EC5">
        <w:rPr>
          <w:sz w:val="28"/>
          <w:szCs w:val="28"/>
        </w:rPr>
        <w:t xml:space="preserve"> опубликовал результаты применения очищенного экстракта кураре во время анестезии, миорелаксанты быстро завоевали достойное место в арсенале анестезиологов и реаниматологов.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Открытие действующего начала кураре тубокурарина оказало огромное влияние на развитие анестезиологии и хирургии и позволило изучить механизм нейро-мышечной передачи.</w:t>
      </w:r>
    </w:p>
    <w:p w:rsidR="00BC4020" w:rsidRPr="006F5EC5" w:rsidRDefault="006F5EC5" w:rsidP="006F5EC5">
      <w:pPr>
        <w:pStyle w:val="1"/>
        <w:spacing w:line="360" w:lineRule="auto"/>
        <w:jc w:val="center"/>
        <w:rPr>
          <w:b/>
        </w:rPr>
      </w:pPr>
      <w:bookmarkStart w:id="1" w:name="_Toc528823360"/>
      <w:r>
        <w:br w:type="page"/>
      </w:r>
      <w:r w:rsidR="00BC4020" w:rsidRPr="006F5EC5">
        <w:rPr>
          <w:b/>
        </w:rPr>
        <w:t>1. Общая характеристика и классификация миорелаксантов</w:t>
      </w:r>
      <w:bookmarkEnd w:id="1"/>
      <w:r w:rsidRPr="006F5EC5">
        <w:rPr>
          <w:b/>
        </w:rPr>
        <w:t xml:space="preserve"> </w:t>
      </w:r>
      <w:bookmarkStart w:id="2" w:name="_Toc528823361"/>
      <w:r w:rsidR="00BC4020" w:rsidRPr="006F5EC5">
        <w:rPr>
          <w:b/>
        </w:rPr>
        <w:t>по химической структуре и механизму действия</w:t>
      </w:r>
      <w:bookmarkEnd w:id="2"/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21"/>
        <w:spacing w:line="360" w:lineRule="auto"/>
        <w:ind w:firstLine="709"/>
      </w:pPr>
      <w:r w:rsidRPr="006F5EC5">
        <w:t>Миорелаксанты - это препараты, блокирующие нейромышечную передачу. Используются они для проведения контролируемой механической вентиляции легких, создания условий для работы хирургической бригады, особенно при операциях на органах груди и живота, для уменьшения внутричерепной гипертензии, снижения потребления кислорода, устранения дрожи, обеспечения неподвижности при некоторых диагностических манипуляциях, купирования судорожного синдрома и в ряде других случаев.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Все блокаторы нейро-мышечной передачи по своей химической структуре похожи на ацетилхолин. Так, например, сукцинилхолин фактически состоит из 2-х молекул ацетилхолина (слайд). Недеполяризующие релаксанты скрывают свою подобную ацетилхолину структуру в виде кольцевых систем 2-х типов - изохинолиновой и стероидной (слайд). Наличие одного или двух четвертичных атомов азота у всех блокаторов нейро-мышечной передачи делает эти препараты плохо растворимыми в липидах, что предотвращает их попадание в ЦНС.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Все блокаторы нейро-мышечной передачи высокополярны и неактивны при пероральном приеме. Их вводят только внутривенно.</w:t>
      </w:r>
    </w:p>
    <w:p w:rsidR="006F5EC5" w:rsidRDefault="006F5EC5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 xml:space="preserve">Таблица 1(слайд). </w:t>
      </w:r>
    </w:p>
    <w:p w:rsidR="00BC4020" w:rsidRPr="006F5EC5" w:rsidRDefault="00BC4020" w:rsidP="006F5EC5">
      <w:pPr>
        <w:pStyle w:val="1"/>
        <w:spacing w:line="360" w:lineRule="auto"/>
      </w:pPr>
      <w:bookmarkStart w:id="3" w:name="_Toc528823362"/>
      <w:r w:rsidRPr="006F5EC5">
        <w:t>Классификация миорелаксантов по химической структуре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8"/>
        <w:gridCol w:w="3189"/>
        <w:gridCol w:w="3194"/>
      </w:tblGrid>
      <w:tr w:rsidR="00BC4020" w:rsidRPr="006F5EC5" w:rsidTr="006F5EC5">
        <w:tc>
          <w:tcPr>
            <w:tcW w:w="3188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Дериваты изохинолина</w:t>
            </w:r>
          </w:p>
        </w:tc>
        <w:tc>
          <w:tcPr>
            <w:tcW w:w="3189" w:type="dxa"/>
          </w:tcPr>
          <w:p w:rsidR="00BC4020" w:rsidRPr="006F5EC5" w:rsidRDefault="00BC4020" w:rsidP="006F5EC5">
            <w:pPr>
              <w:pStyle w:val="2"/>
              <w:spacing w:line="360" w:lineRule="auto"/>
              <w:jc w:val="both"/>
              <w:rPr>
                <w:sz w:val="20"/>
              </w:rPr>
            </w:pPr>
            <w:bookmarkStart w:id="4" w:name="_Toc528823363"/>
            <w:r w:rsidRPr="006F5EC5">
              <w:rPr>
                <w:sz w:val="20"/>
              </w:rPr>
              <w:t>Дериваты стероидов</w:t>
            </w:r>
            <w:bookmarkEnd w:id="4"/>
          </w:p>
        </w:tc>
        <w:tc>
          <w:tcPr>
            <w:tcW w:w="3194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Другие препараты</w:t>
            </w:r>
          </w:p>
        </w:tc>
      </w:tr>
      <w:tr w:rsidR="00BC4020" w:rsidRPr="006F5EC5" w:rsidTr="006F5EC5">
        <w:tc>
          <w:tcPr>
            <w:tcW w:w="3188" w:type="dxa"/>
          </w:tcPr>
          <w:p w:rsidR="00BC4020" w:rsidRPr="006F5EC5" w:rsidRDefault="00BC4020" w:rsidP="006F5EC5">
            <w:pPr>
              <w:pStyle w:val="2"/>
              <w:spacing w:line="360" w:lineRule="auto"/>
              <w:jc w:val="both"/>
              <w:rPr>
                <w:sz w:val="20"/>
              </w:rPr>
            </w:pPr>
            <w:bookmarkStart w:id="5" w:name="_Toc528823364"/>
            <w:r w:rsidRPr="006F5EC5">
              <w:rPr>
                <w:sz w:val="20"/>
              </w:rPr>
              <w:t>Атракурий</w:t>
            </w:r>
            <w:bookmarkEnd w:id="5"/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Доксакурий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Метокурий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Мивакурий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Тубокурарин</w:t>
            </w:r>
          </w:p>
        </w:tc>
        <w:tc>
          <w:tcPr>
            <w:tcW w:w="3189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Панкуроний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Пипекуроний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Рокуроний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Векуроний</w:t>
            </w:r>
          </w:p>
        </w:tc>
        <w:tc>
          <w:tcPr>
            <w:tcW w:w="3194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Галламин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Сукцинилхолин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</w:p>
        </w:tc>
      </w:tr>
    </w:tbl>
    <w:p w:rsidR="00BC4020" w:rsidRPr="006F5EC5" w:rsidRDefault="00BC4020" w:rsidP="006F5EC5">
      <w:pPr>
        <w:spacing w:line="360" w:lineRule="auto"/>
        <w:ind w:firstLine="709"/>
        <w:jc w:val="both"/>
        <w:rPr>
          <w:sz w:val="28"/>
        </w:rPr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По механизму действия миорелаксанты подразделяют на 2 класса: деполяризующие и недеполяризующие. Кроме того, миорелаксанты делят по продолжительности действия (</w:t>
      </w:r>
      <w:r w:rsidRPr="006F5EC5">
        <w:rPr>
          <w:szCs w:val="28"/>
        </w:rPr>
        <w:t>слайд, таблица</w:t>
      </w:r>
      <w:r w:rsidRPr="006F5EC5">
        <w:t xml:space="preserve">). 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3"/>
        <w:spacing w:line="360" w:lineRule="auto"/>
        <w:ind w:firstLine="709"/>
        <w:jc w:val="both"/>
      </w:pPr>
      <w:bookmarkStart w:id="6" w:name="_Toc528823365"/>
      <w:r w:rsidRPr="006F5EC5">
        <w:t>Таблица 2</w:t>
      </w:r>
      <w:bookmarkEnd w:id="6"/>
    </w:p>
    <w:p w:rsidR="00BC4020" w:rsidRPr="006F5EC5" w:rsidRDefault="00BC4020" w:rsidP="006F5EC5">
      <w:pPr>
        <w:pStyle w:val="3"/>
        <w:spacing w:line="360" w:lineRule="auto"/>
        <w:ind w:firstLine="709"/>
        <w:jc w:val="both"/>
      </w:pPr>
      <w:bookmarkStart w:id="7" w:name="_Toc528823366"/>
      <w:r w:rsidRPr="006F5EC5">
        <w:t>Классификация миорелаксантов по механизму</w:t>
      </w:r>
      <w:bookmarkEnd w:id="7"/>
      <w:r w:rsidR="006F5EC5">
        <w:t xml:space="preserve"> </w:t>
      </w:r>
      <w:r w:rsidRPr="006F5EC5">
        <w:t>и длительности действия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527"/>
        <w:gridCol w:w="3527"/>
      </w:tblGrid>
      <w:tr w:rsidR="00BC4020" w:rsidRPr="006F5EC5">
        <w:tc>
          <w:tcPr>
            <w:tcW w:w="2802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</w:p>
        </w:tc>
        <w:tc>
          <w:tcPr>
            <w:tcW w:w="352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Деполяризующие</w:t>
            </w:r>
          </w:p>
        </w:tc>
        <w:tc>
          <w:tcPr>
            <w:tcW w:w="352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Недеполяризующие</w:t>
            </w:r>
          </w:p>
        </w:tc>
      </w:tr>
      <w:tr w:rsidR="00BC4020" w:rsidRPr="006F5EC5">
        <w:tc>
          <w:tcPr>
            <w:tcW w:w="2802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 xml:space="preserve">Короткого 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действия</w:t>
            </w:r>
          </w:p>
        </w:tc>
        <w:tc>
          <w:tcPr>
            <w:tcW w:w="352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сукцинилхолин (дитилин)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декаметоний</w:t>
            </w:r>
          </w:p>
        </w:tc>
        <w:tc>
          <w:tcPr>
            <w:tcW w:w="352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мивакурий (мивакрон)</w:t>
            </w:r>
          </w:p>
        </w:tc>
      </w:tr>
      <w:tr w:rsidR="00BC4020" w:rsidRPr="006F5EC5">
        <w:tc>
          <w:tcPr>
            <w:tcW w:w="2802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Средней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продолжительности</w:t>
            </w:r>
          </w:p>
        </w:tc>
        <w:tc>
          <w:tcPr>
            <w:tcW w:w="352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</w:p>
        </w:tc>
        <w:tc>
          <w:tcPr>
            <w:tcW w:w="352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атракурий (тракриум)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векуроний (норкурон)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рокуроний</w:t>
            </w:r>
          </w:p>
        </w:tc>
      </w:tr>
      <w:tr w:rsidR="00BC4020" w:rsidRPr="006F5EC5">
        <w:tc>
          <w:tcPr>
            <w:tcW w:w="2802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 xml:space="preserve">Длительного 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действия</w:t>
            </w:r>
          </w:p>
        </w:tc>
        <w:tc>
          <w:tcPr>
            <w:tcW w:w="352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</w:p>
        </w:tc>
        <w:tc>
          <w:tcPr>
            <w:tcW w:w="352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тубокурарин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метокурин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доксакурий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панкуроний (павулон)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пипекуроний (ардуан)</w:t>
            </w:r>
          </w:p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галламин</w:t>
            </w:r>
          </w:p>
        </w:tc>
      </w:tr>
    </w:tbl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Для того, чтобы разобраться с механизмом действия и применением современных миорелаксантов вспомним сначала, как осуществляется нейро-мышечная передача.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1"/>
        <w:spacing w:line="360" w:lineRule="auto"/>
        <w:jc w:val="center"/>
        <w:rPr>
          <w:b/>
        </w:rPr>
      </w:pPr>
      <w:bookmarkStart w:id="8" w:name="_Toc528823367"/>
      <w:r w:rsidRPr="006F5EC5">
        <w:rPr>
          <w:b/>
        </w:rPr>
        <w:t>2. Основные сведения о структуре и функции</w:t>
      </w:r>
      <w:bookmarkEnd w:id="8"/>
      <w:r w:rsidR="006F5EC5" w:rsidRPr="006F5EC5">
        <w:rPr>
          <w:b/>
        </w:rPr>
        <w:t xml:space="preserve"> </w:t>
      </w:r>
      <w:bookmarkStart w:id="9" w:name="_Toc528823368"/>
      <w:r w:rsidRPr="006F5EC5">
        <w:rPr>
          <w:b/>
        </w:rPr>
        <w:t>нейро-мышечного синапса</w:t>
      </w:r>
      <w:bookmarkEnd w:id="9"/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 xml:space="preserve">На </w:t>
      </w:r>
      <w:r w:rsidRPr="006F5EC5">
        <w:rPr>
          <w:bCs/>
          <w:sz w:val="28"/>
          <w:szCs w:val="28"/>
        </w:rPr>
        <w:t>слайде</w:t>
      </w:r>
      <w:r w:rsidRPr="006F5EC5">
        <w:rPr>
          <w:sz w:val="28"/>
          <w:szCs w:val="28"/>
        </w:rPr>
        <w:t xml:space="preserve"> представлена схематическая структура нейро-мышечного синапса. На подходе к мышечному волокну аксон теряет миелиновую оболочку и разветвляется на множество конечных веточек (терминалей). Поверхность каждой такой веточки, непосредственно прилежащая к мышце, называется пресинаптической мембраной и вместе с так называемой концевой пластинкой (участком мышечного волокна в месте контакта с нервным окончанием) образует нейро-мышечный синапс.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Терминаль нерва содержит большое количество митохондрий и везикул с медиатором ацетилхолином. Между пре- и постсинаптическими мембранами находится пространство, заполненное гелем и называемое синаптической щелью.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Мембрана концевой пластинки (постсинаптическая мембрана) образует множественные складки. На постсинаптической мембране находятся н-холинорецепторы. Постсинаптическая мембрана в покое поляризована. Разница потенциалов наружной и внутренней поверхности мембраны (потенциал покоя) составляет 90 мВ.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Процесс нейро-мышечной передачи выглядит следующим образом. Приходящее по аксону возбуждение в виде потенциала действия активирует кальциевые каналы, способствуя вхождению кальция внутрь нервного волокна. Повышение концентрации кальция внутри терминали нерва приводит к слиянию везикулярной мембраны с мембраной нервного окончания и выбросу ацетилхолина из везикул в синаптическую щель. Далее ацетилхолин связывается с холинорецепторами постсинаптической мембраны, что приводит к открытию ионных каналов и переходу по градиенту концентрации Na и Ca внутрь клетки и выходу К из клетки. Быстрое перемещение Na внутрь клетки вызывает деполяризацию мембраны (за счет уменьшения отрицательного заряда внутренней поврехности мембраны), а возникший потенциал концевой пластинки при определенном количестве связанных с ацетилхолином рецепторов достигает такой величины, что распространяется на соседние участки мышечного волокна в виде потенциала действия, приводя к сокращению мышцы.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Ацетилхолин же быстро гидролизуется специфическим ферментом ацетилхолинэстеразой на холин и уксусную кислоту. Молекулы фермента фиксированы в концевой пластинке в непосредственой близости от холинорецепторов.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Освобожденная от ацетилхолина концевая пластинка переходит в свое прежнее состояние. Каналы закрываются, электролиты возвращаются к своим прежним уровням за счет активного транспорта. Мышца расслабляется. После кратковременного рефрактерного периода, во время которого восстанавливается потенциал покоя, мембрана вновь становится готова реагировать на поступление в синаптическую щель очередной порции ацетилхолина, а мышца - реагировать на приходящий потенциал действия сокращением.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Теперь можно поговорить и о механизме действия разных групп миорелаксантов.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6F5EC5" w:rsidRPr="006F5EC5" w:rsidRDefault="00BC4020" w:rsidP="006F5EC5">
      <w:pPr>
        <w:pStyle w:val="1"/>
        <w:spacing w:line="360" w:lineRule="auto"/>
        <w:jc w:val="center"/>
        <w:rPr>
          <w:b/>
        </w:rPr>
      </w:pPr>
      <w:bookmarkStart w:id="10" w:name="_Toc528823369"/>
      <w:r w:rsidRPr="006F5EC5">
        <w:rPr>
          <w:b/>
        </w:rPr>
        <w:t>3. Механизм действия миорелаксантов</w:t>
      </w:r>
      <w:bookmarkEnd w:id="10"/>
    </w:p>
    <w:p w:rsidR="006F5EC5" w:rsidRDefault="006F5EC5" w:rsidP="006F5EC5">
      <w:pPr>
        <w:pStyle w:val="1"/>
        <w:spacing w:line="360" w:lineRule="auto"/>
      </w:pP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А. Недеполяризующие релаксанты.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В низких дозах они действуют на никотиновые рецепторы как конкурентные антагонисты ацетилхолина. В больших дозах некоторые из препаратов этой группы проникают непосредственно в поры ионных каналов, еще больше ослабляя нейро-мышечную передачу. Кроме того, недеполяризующие миорелаксанты могут блокировать пресинаптические каналы, затрудняя транспорт ацетилхолина из нервных окончаний в синаптическую щель. Важным следствием конкурентности их действия является способность ингибиторов холинэстеразы уменьшать или даже полностью прекращать блокаду.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Б. Деполяризующие миорелаксанты.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 xml:space="preserve">Действуют в 2 фазы. Первая - деполяризующая, связана с действием сукцинилхолина, аналогичным ацетилхолину, с деполяризацией концевой пластинки. Более того, сукцинилхолин может проникать в ионные каналы, вызывая в них “мерцающие” изменения проводимости. </w:t>
      </w:r>
    </w:p>
    <w:p w:rsidR="00BC4020" w:rsidRPr="006F5EC5" w:rsidRDefault="00BC4020" w:rsidP="006F5EC5">
      <w:pPr>
        <w:pStyle w:val="a3"/>
        <w:spacing w:line="360" w:lineRule="auto"/>
        <w:rPr>
          <w:szCs w:val="28"/>
        </w:rPr>
      </w:pPr>
      <w:r w:rsidRPr="006F5EC5">
        <w:rPr>
          <w:szCs w:val="28"/>
        </w:rPr>
        <w:t xml:space="preserve">Для поддержания мышечного сокращения необходимы продолжающееся поступление потенциалов концевой пластинки с формированием серии потенциалов действия на миоците. Для формирования очередного потенциала концевой пластинки она должна сначала реполяризоваться, а затем вновь деполяризоваться. Поскольку сукцинилхолин не гидролизуется в синапсе быстро, рецепторы остаются блокированными, повторные импульсы с концевой пластинки не поступают, мышечное волокно реполяризуется, развивается миорелаксация. Этому же способствует и проникновение препарата непосредственно в каналы. 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Кроме того, существует гипотеза, согласно которой на мембране миоцита вокруг концевой пластинки возникает невозбудимая зона, что препятствует распространению возбуждения даже при поступлении импульсов с холинорецепторов (десенсибилизация, 2-я фаза блока). Это наблюдается при введении большой дозы сукцинилхолина.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 xml:space="preserve">Следует подчеркнуть, что полностью механизм действия миорелаксантов не выяснен до сих пор. Исследования, начатые Г. Гриффитом в </w:t>
      </w:r>
      <w:smartTag w:uri="urn:schemas-microsoft-com:office:smarttags" w:element="metricconverter">
        <w:smartTagPr>
          <w:attr w:name="ProductID" w:val="1942 г"/>
        </w:smartTagPr>
        <w:r w:rsidRPr="006F5EC5">
          <w:rPr>
            <w:sz w:val="28"/>
            <w:szCs w:val="28"/>
          </w:rPr>
          <w:t>1942 г</w:t>
        </w:r>
      </w:smartTag>
      <w:r w:rsidRPr="006F5EC5">
        <w:rPr>
          <w:sz w:val="28"/>
          <w:szCs w:val="28"/>
        </w:rPr>
        <w:t>., продолжаются.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C4020" w:rsidRPr="006F5EC5" w:rsidRDefault="00BC4020" w:rsidP="006F5EC5">
      <w:pPr>
        <w:pStyle w:val="1"/>
        <w:spacing w:line="360" w:lineRule="auto"/>
        <w:jc w:val="center"/>
        <w:rPr>
          <w:b/>
        </w:rPr>
      </w:pPr>
      <w:bookmarkStart w:id="11" w:name="_Toc528823370"/>
      <w:r w:rsidRPr="006F5EC5">
        <w:rPr>
          <w:b/>
        </w:rPr>
        <w:t>4. Влияние миорелаксантов на основные функциональные</w:t>
      </w:r>
      <w:bookmarkEnd w:id="11"/>
      <w:r w:rsidR="006F5EC5" w:rsidRPr="006F5EC5">
        <w:rPr>
          <w:b/>
        </w:rPr>
        <w:t xml:space="preserve"> </w:t>
      </w:r>
      <w:bookmarkStart w:id="12" w:name="_Toc528823371"/>
      <w:r w:rsidRPr="006F5EC5">
        <w:rPr>
          <w:b/>
        </w:rPr>
        <w:t>системы организма и обмен веществ</w:t>
      </w:r>
      <w:bookmarkEnd w:id="12"/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Как указывалось выше, миорелаксанты в силу своей химической структуры неспособны проникать в ЦНС, поэтому влияния на ее функции не оказывают. Необходимо еще раз подчеркнуть, что препараты данной группы не вызывают ни анестезию, ни анальгезию, ни сон.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На сердечно-сосудистую систему миорелаксанты действуют по-разному. Так векуроний, пипекуроний, доксакурий и рокуроний практически не вызывают изменений ее функций.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Тубокурарин и в меньшей степени метокурин, мивакурий и атракурий могут вызывать гипотензию. Что обусловлено, по большей части, высвобождением гистамина (премедикация антигистаминными препаратами уменьшает этот эффект), а при использовании больших доз – ганглионарной блокадой.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Введение панкурония приводит к умеренному увеличению ЧСС, сердечного выброса, незначительному повышению ОПС. Это является следствием блокады м-холинорецепторов сердца (вагусная блокада) и высвобождением норадреналина из адренергических нервных окончаний и снижением его реаптейка. Аналогичным образом влияет на сердечно-сосудистую систему и галламин.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Вышесказанное суммировано в таблице и на слайде.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Таблица 3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Влияние миорелаксантов на вегетативные ганглии, м-холинорецепторы сердца и высвобождение гистамина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217"/>
        <w:gridCol w:w="2355"/>
        <w:gridCol w:w="2604"/>
      </w:tblGrid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Препарат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Высвобождение гистамина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 xml:space="preserve">Действие </w:t>
            </w: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на вегетативные ганглии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 xml:space="preserve">Действие на </w:t>
            </w: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м-холинорецепторы сердца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Атракурий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Доксакурий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нет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Метокурин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слабая блокада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Мивакурий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нет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Тубокурарин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слабая блокада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Панкуроний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нет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умеренная блокада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Пипекуроний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Векуроний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Рокуроний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Галламин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нет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нет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сильная блокада</w:t>
            </w:r>
          </w:p>
        </w:tc>
      </w:tr>
      <w:tr w:rsidR="00BC4020" w:rsidRPr="006F5EC5" w:rsidTr="006F5EC5">
        <w:tc>
          <w:tcPr>
            <w:tcW w:w="239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Сукцинилхолин</w:t>
            </w:r>
          </w:p>
        </w:tc>
        <w:tc>
          <w:tcPr>
            <w:tcW w:w="2217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2355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стимуляция</w:t>
            </w:r>
          </w:p>
        </w:tc>
        <w:tc>
          <w:tcPr>
            <w:tcW w:w="2604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стимуляция</w:t>
            </w:r>
          </w:p>
        </w:tc>
      </w:tr>
    </w:tbl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Сукцинилхолин вызывает многообразные эффекты.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Он </w:t>
      </w:r>
      <w:r w:rsidRPr="006F5EC5">
        <w:rPr>
          <w:bCs/>
        </w:rPr>
        <w:t>стимулирует н-холинорецепторы в симпатических и парасимпатических ганглиях и м-холинорецепторы сердца</w:t>
      </w:r>
      <w:r w:rsidRPr="006F5EC5">
        <w:t>. При введении в небольших дозах вызывает отрицательные ино- и хронотропные эффекты, которые купируются введением атропина. В больших дозах может, наоборот, оказывать положительное ино- и хронотропное действие. При введении повторных доз без предварительной атропинизации часто наблюдается выраженная брадикардия вплоть до асистолии. (Предотвращается атропином, ганглиоблокаторами, недеполяризующими миорелаксантами).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Сукцинилхолин может вызывать </w:t>
      </w:r>
      <w:r w:rsidRPr="006F5EC5">
        <w:rPr>
          <w:bCs/>
        </w:rPr>
        <w:t>выраженную гиперкалиемую</w:t>
      </w:r>
      <w:r w:rsidRPr="006F5EC5">
        <w:t>, чреватую остановкой сердца. Особенно это опасно для больных с тяжелыми травмами, ожогами, повреждением головного, спинного мозга или периферических нервов, инсультом, энцефалитом, другими неврологическими заболеваниями (дистрофия Дюшенна, полинейропатии, синдром Гийена-Барре, паркинсонизм), почечной недостаточностью, тяжелой внутрибрюшной инфекцией, столбняком, после разрыва артериальной аневризмы головного мозга, утопления, на фоне метаболического ацидоза, у лиц, длительно находящихся в неподвижном состоянии. Механизм этого явления неизвестен.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Сукцинилхолин повышает </w:t>
      </w:r>
      <w:r w:rsidRPr="006F5EC5">
        <w:rPr>
          <w:bCs/>
        </w:rPr>
        <w:t>внутриглазное давление</w:t>
      </w:r>
      <w:r w:rsidRPr="006F5EC5">
        <w:t>. Это начинает проявляться через 1 мин после введения, максимума достигает на 2-4 минуте, прекращается через 5 мин после инъекции. Механизм данного явления также неизвестен. Предполагается, что это связано с сокращением тонических миофибрилл или расширением сосудов хориоидального спелетения. При офтальмологических операциях применение сукцинилхолина не противопоказано, если не вскрывается передняя камера глаза.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У больных с большим объемом мышечной ткани </w:t>
      </w:r>
      <w:r w:rsidRPr="006F5EC5">
        <w:rPr>
          <w:bCs/>
        </w:rPr>
        <w:t>миофасцикуляции</w:t>
      </w:r>
      <w:r w:rsidRPr="006F5EC5">
        <w:t xml:space="preserve"> могут приводить к значительному повышению внутрижелудочного давления, регургитации и последующей аспирации.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С миофасцикуляциями связаны и возникающие у значительной части больных (по разным данным от 0,2 до 92%) в течение 2-3 –х суток после введения препарата мышечные боли. Считается, что это вызвано повреждением мышц во время их фибрилляций (что подтверждается миоглобинурией).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У некоторых больных сукцинилхолин вызывает </w:t>
      </w:r>
      <w:r w:rsidRPr="006F5EC5">
        <w:rPr>
          <w:bCs/>
        </w:rPr>
        <w:t>повышение мозгового кровотока и рост внутричерепного давления</w:t>
      </w:r>
      <w:r w:rsidRPr="006F5EC5">
        <w:t>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Сукцинилхолин является провоцирующим фактором </w:t>
      </w:r>
      <w:r w:rsidRPr="006F5EC5">
        <w:rPr>
          <w:bCs/>
        </w:rPr>
        <w:t>злокачественной гипертермии</w:t>
      </w:r>
      <w:r w:rsidRPr="006F5EC5">
        <w:t xml:space="preserve"> – гиперметаболического заболевания скелетных мышц, сопровождающегося выраженным повышением температуры тела, тахикардией, метаболическим ацидозом.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1"/>
        <w:spacing w:line="360" w:lineRule="auto"/>
        <w:jc w:val="center"/>
        <w:rPr>
          <w:b/>
        </w:rPr>
      </w:pPr>
      <w:bookmarkStart w:id="13" w:name="_Toc528823372"/>
      <w:r w:rsidRPr="006F5EC5">
        <w:rPr>
          <w:b/>
        </w:rPr>
        <w:t>5. Показания к применению миорелаксантов</w:t>
      </w:r>
      <w:bookmarkEnd w:id="13"/>
      <w:r w:rsidR="006F5EC5" w:rsidRPr="006F5EC5">
        <w:rPr>
          <w:b/>
        </w:rPr>
        <w:t xml:space="preserve"> </w:t>
      </w:r>
      <w:bookmarkStart w:id="14" w:name="_Toc528823373"/>
      <w:r w:rsidRPr="006F5EC5">
        <w:rPr>
          <w:b/>
        </w:rPr>
        <w:t>в анестезиологии и реаниматологии</w:t>
      </w:r>
      <w:bookmarkEnd w:id="14"/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1. Обеспечение условий для интубации трахеи.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2. Обеспечение миорелаксации во время оперативных вмешательств для создания оптимальных условий работы хирургической бригады без избыточных доз препаратов для общей анестезии, а также необходимость мышечного расслабления при некоторых диагностических манипуляциях, выполняемых в условиях общей анестезии (например, бронхоскопия).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3. Подавление самостоятельного дыхания с целью проведения ИВЛ.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4. Устранение судорожного синдрома при неэффективности противосудорожных препаратов.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5. Блокада защитных реакций на холод в виде мышечной дрожи и гипертонуса мышц при искусственной гипотермии.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6. Миорелаксация при репозиции отломков костей и вправлении вывихов в суставах, где имеются мощные мышечные массивы.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1"/>
        <w:spacing w:line="360" w:lineRule="auto"/>
        <w:jc w:val="center"/>
        <w:rPr>
          <w:b/>
        </w:rPr>
      </w:pPr>
      <w:bookmarkStart w:id="15" w:name="_Toc528823374"/>
      <w:r w:rsidRPr="006F5EC5">
        <w:rPr>
          <w:b/>
        </w:rPr>
        <w:t>6. Характеристика основных препаратов,</w:t>
      </w:r>
      <w:bookmarkEnd w:id="15"/>
      <w:r w:rsidR="006F5EC5" w:rsidRPr="006F5EC5">
        <w:rPr>
          <w:b/>
        </w:rPr>
        <w:t xml:space="preserve"> </w:t>
      </w:r>
      <w:bookmarkStart w:id="16" w:name="_Toc528823375"/>
      <w:r w:rsidRPr="006F5EC5">
        <w:rPr>
          <w:b/>
        </w:rPr>
        <w:t>методика их применения</w:t>
      </w:r>
      <w:bookmarkEnd w:id="16"/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Единственным используемым в настоящее время представителем </w:t>
      </w:r>
      <w:r w:rsidRPr="006F5EC5">
        <w:rPr>
          <w:bCs/>
        </w:rPr>
        <w:t>деполяризующих миорелаксантов</w:t>
      </w:r>
      <w:r w:rsidRPr="006F5EC5">
        <w:t xml:space="preserve"> является сукцинилхолин (дитилин, листенон).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Основными качествами, определяющими его популярность вопреки многочисленным побочным эффектам являются очень быстрое начало действия (от 30 до 60 с) и его кратковременность (менее 10 мин). Препарат вводится в дозе 1-1,5 мг/кг. Следует однако отметить, что если применяется прекураризация, то интубационная доза сукцинилхолина увеличивается в 1,5 раза.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Сукцинилхолин быстро разрушается плазменной псевдохолинэстеразой. После дозы 1 мг/кг продолжительность действия его составляет 6-8 мин. Иногда его применяют и для поддержания релаксации, вводя в виде инфузии со скоростью от 20 до 110 мкг/кг/мин (в среднем – 60 мкг/кг/мин), особенно для кратковременных манипуляций (например, бронхоскопия) и операций.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Учитывая многочисленность и выраженность побочных эффектов, зачастую перечеркивающих положительные качества сукцинилхолина, в настоящее время показания к его применению все более суживаются. Полагают, что имеет смысл использовать деполяризующие релаксанты только при предполагающейся трудной интубации (для быстрого восстановления мышечного тонуса и перевода больного на самостоятельное дыхание в случае неудачи – хотя даже это положение спорно, ряд авторов полагает, что в этой ситуации следует вообще отказаться от применения миорелаксантов) или при высоком риске регургитации и аспирации ("полный" желудок), в целях наиболее быстрого выполнения интубации трахеи и перевода больного на ИВЛ</w:t>
      </w:r>
      <w:r w:rsidRPr="006F5EC5">
        <w:rPr>
          <w:rStyle w:val="af"/>
        </w:rPr>
        <w:footnoteReference w:id="2"/>
      </w:r>
      <w:r w:rsidRPr="006F5EC5">
        <w:t>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Элиминация препарата осуществляется за счет его разрушения псевдохолинэстеразой (бутирилхолинэстеразой) плазмы крови на холин и сукцинилмонохолин с последующим дальнейшим гидролизом последнего на янтарную кислоту и холин.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Метаболизм препарата нарушается при гипотермии (замедление гидролиза) и при низкой концентрации или наследственном дефекте псевдохолинэстеразы. Недеполяризующие релаксанты проявляют к сукцинилхолину антагонистическое действие. Так даже прекураризация (о чем уже говорилось выше) вынуждает увеличивать дозу сукцинилхолина на 50-100%. Исключение здесь составляет панкуроний. Он усиливает действие сукцинилхолина за счет угнетения активности псевдохолинэстеразы.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Из достаточно большого перечня </w:t>
      </w:r>
      <w:r w:rsidRPr="006F5EC5">
        <w:rPr>
          <w:bCs/>
        </w:rPr>
        <w:t>недеполяризующих релаксантов</w:t>
      </w:r>
      <w:r w:rsidRPr="006F5EC5">
        <w:t xml:space="preserve"> мы рассмотрим только наиболее часто использующиеся. И начнем мы с представления об идеальном миорелаксанте.</w:t>
      </w:r>
    </w:p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  <w:r w:rsidRPr="006F5EC5">
        <w:t>Свойства "идеального" миорелаксанта (слайд):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высокая активность;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конкурентный механизм действия;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избирательность действия на н-холинорецепторы скелетных мышц;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быстрое начало действия;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кратковременный блок нервно-мышечной передачи (при однократном введении не более 15 мин);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отсутствие потенцирования или кумуляции при повторном введении;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отсутствие побочных эффектов;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низкая токсичность;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отсутствие физиологической и токсической активности метаболитов и их быстрое выведение из организма;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наличие эффективных антагонистов;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стойкость при хранении;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t>рентабельность для промышленного производства.</w:t>
      </w:r>
    </w:p>
    <w:p w:rsidR="006F5EC5" w:rsidRDefault="006F5EC5" w:rsidP="006F5EC5">
      <w:pPr>
        <w:pStyle w:val="a3"/>
        <w:numPr>
          <w:ilvl w:val="12"/>
          <w:numId w:val="0"/>
        </w:numPr>
        <w:spacing w:line="360" w:lineRule="auto"/>
        <w:ind w:firstLine="709"/>
      </w:pPr>
    </w:p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  <w:r w:rsidRPr="006F5EC5">
        <w:t>Таблица 4</w:t>
      </w:r>
    </w:p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  <w:r w:rsidRPr="006F5EC5">
        <w:t>Современные миорелаксанты (1)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758"/>
        <w:gridCol w:w="704"/>
        <w:gridCol w:w="1406"/>
        <w:gridCol w:w="1126"/>
        <w:gridCol w:w="704"/>
        <w:gridCol w:w="1126"/>
        <w:gridCol w:w="1268"/>
      </w:tblGrid>
      <w:tr w:rsidR="00BC4020" w:rsidRPr="006F5E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rPr>
                <w:bCs/>
                <w:lang w:val="en-US"/>
              </w:rPr>
              <w:t>Name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Высвобождение гистамина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Вагус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Ганглионарная стимуляция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Форма выпуска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Дозировка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Время развития блока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Продолжительность</w:t>
            </w:r>
          </w:p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действия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Цена</w:t>
            </w:r>
          </w:p>
        </w:tc>
      </w:tr>
      <w:tr w:rsidR="00BC4020" w:rsidRPr="006F5E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Сукцинилхолин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Стим.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Стим.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20 мг/мл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1 мг/кг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30 с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5-10 мин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$0.36/200 мг </w:t>
            </w:r>
          </w:p>
        </w:tc>
      </w:tr>
      <w:tr w:rsidR="00BC4020" w:rsidRPr="006F5E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rPr>
                <w:iCs/>
                <w:lang w:val="en-US"/>
              </w:rPr>
              <w:t>d</w:t>
            </w:r>
            <w:r w:rsidRPr="006F5EC5">
              <w:t xml:space="preserve">-тубокурарин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Блок.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3 мг/мл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0.5 мг/кг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3 мин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60-100 мин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$4.51/60 мг</w:t>
            </w:r>
          </w:p>
        </w:tc>
      </w:tr>
      <w:tr w:rsidR="00BC4020" w:rsidRPr="006F5E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Метокурин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Блок.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2 мг/мл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0.3 мг/кг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3 мин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60-120 мин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$20.27/40 мг</w:t>
            </w:r>
          </w:p>
        </w:tc>
      </w:tr>
      <w:tr w:rsidR="00BC4020" w:rsidRPr="006F5E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Панкуроний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spacing w:line="360" w:lineRule="auto"/>
              <w:jc w:val="both"/>
            </w:pPr>
            <w:r w:rsidRPr="006F5EC5">
              <w:t>Блок.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1 мг/мл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0.1 мг/кг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3 мин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60-120 мин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$1.31/10 мг </w:t>
            </w:r>
          </w:p>
        </w:tc>
      </w:tr>
      <w:tr w:rsidR="00BC4020" w:rsidRPr="006F5E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Доксакурий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1 мг/мл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0.06 мг/кг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4 мин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90-150 мин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$13.49/5 мг </w:t>
            </w:r>
          </w:p>
        </w:tc>
      </w:tr>
      <w:tr w:rsidR="00BC4020" w:rsidRPr="006F5E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Векуроний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10 мг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0.1 мг/кг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2 мин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45-90 мин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$18.11/10 мг</w:t>
            </w:r>
          </w:p>
        </w:tc>
      </w:tr>
      <w:tr w:rsidR="00BC4020" w:rsidRPr="006F5E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Цисатракурий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10 мг/мл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0.5 мг/кг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2 мин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30-45 мин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$39.47/100 мг</w:t>
            </w:r>
          </w:p>
        </w:tc>
      </w:tr>
      <w:tr w:rsidR="00BC4020" w:rsidRPr="006F5E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Рокуроний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Блок.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10 мг/мл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1 мг/кг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1 мин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45-75 мин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$14.62/50 мг</w:t>
            </w:r>
          </w:p>
        </w:tc>
      </w:tr>
      <w:tr w:rsidR="00BC4020" w:rsidRPr="006F5EC5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Мивакурий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- 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20 мг/мл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0.2 мг/кг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1 мин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 xml:space="preserve">15-20 мин 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020" w:rsidRPr="006F5EC5" w:rsidRDefault="00BC4020" w:rsidP="006F5EC5">
            <w:pPr>
              <w:numPr>
                <w:ilvl w:val="12"/>
                <w:numId w:val="0"/>
              </w:numPr>
              <w:spacing w:line="360" w:lineRule="auto"/>
              <w:jc w:val="both"/>
            </w:pPr>
            <w:r w:rsidRPr="006F5EC5">
              <w:t>$8.05/100 мг</w:t>
            </w:r>
          </w:p>
        </w:tc>
      </w:tr>
    </w:tbl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</w:p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  <w:r w:rsidRPr="006F5EC5">
        <w:t>Таблица 5</w:t>
      </w:r>
    </w:p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  <w:r w:rsidRPr="006F5EC5">
        <w:t>Современные миорелаксанты (2)</w:t>
      </w:r>
    </w:p>
    <w:tbl>
      <w:tblPr>
        <w:tblW w:w="98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806"/>
        <w:gridCol w:w="1095"/>
        <w:gridCol w:w="1095"/>
        <w:gridCol w:w="1095"/>
        <w:gridCol w:w="1095"/>
        <w:gridCol w:w="1095"/>
        <w:gridCol w:w="1095"/>
        <w:gridCol w:w="1095"/>
      </w:tblGrid>
      <w:tr w:rsidR="00BC4020" w:rsidRPr="006F5EC5" w:rsidTr="006F5EC5">
        <w:trPr>
          <w:jc w:val="center"/>
        </w:trPr>
        <w:tc>
          <w:tcPr>
            <w:tcW w:w="1384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Миорелаксант</w:t>
            </w:r>
          </w:p>
        </w:tc>
        <w:tc>
          <w:tcPr>
            <w:tcW w:w="806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Метаболизм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Главный путь элиминации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Начало действия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Длительность действия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Высвобождение гистамина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Блокада блуждающего нерва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Относительная мощность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Относительная стоимость</w:t>
            </w:r>
          </w:p>
        </w:tc>
      </w:tr>
      <w:tr w:rsidR="00BC4020" w:rsidRPr="006F5EC5" w:rsidTr="006F5EC5">
        <w:trPr>
          <w:jc w:val="center"/>
        </w:trPr>
        <w:tc>
          <w:tcPr>
            <w:tcW w:w="1384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Тубокурарин</w:t>
            </w:r>
          </w:p>
        </w:tc>
        <w:tc>
          <w:tcPr>
            <w:tcW w:w="806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Незначительный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Почки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1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Низкая</w:t>
            </w:r>
          </w:p>
        </w:tc>
      </w:tr>
      <w:tr w:rsidR="00BC4020" w:rsidRPr="006F5EC5" w:rsidTr="006F5EC5">
        <w:trPr>
          <w:jc w:val="center"/>
        </w:trPr>
        <w:tc>
          <w:tcPr>
            <w:tcW w:w="1384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Метокурин</w:t>
            </w:r>
          </w:p>
        </w:tc>
        <w:tc>
          <w:tcPr>
            <w:tcW w:w="806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Незначительный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Почки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Средняя</w:t>
            </w:r>
          </w:p>
        </w:tc>
      </w:tr>
      <w:tr w:rsidR="00BC4020" w:rsidRPr="006F5EC5" w:rsidTr="006F5EC5">
        <w:trPr>
          <w:jc w:val="center"/>
        </w:trPr>
        <w:tc>
          <w:tcPr>
            <w:tcW w:w="1384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Атракурий</w:t>
            </w:r>
          </w:p>
        </w:tc>
        <w:tc>
          <w:tcPr>
            <w:tcW w:w="806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Незначительный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1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Высокая</w:t>
            </w:r>
          </w:p>
        </w:tc>
      </w:tr>
      <w:tr w:rsidR="00BC4020" w:rsidRPr="006F5EC5" w:rsidTr="006F5EC5">
        <w:trPr>
          <w:jc w:val="center"/>
        </w:trPr>
        <w:tc>
          <w:tcPr>
            <w:tcW w:w="1384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Мивакурий</w:t>
            </w:r>
          </w:p>
        </w:tc>
        <w:tc>
          <w:tcPr>
            <w:tcW w:w="806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Незначительный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2,5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Средняя</w:t>
            </w:r>
          </w:p>
        </w:tc>
      </w:tr>
      <w:tr w:rsidR="00BC4020" w:rsidRPr="006F5EC5" w:rsidTr="006F5EC5">
        <w:trPr>
          <w:jc w:val="center"/>
        </w:trPr>
        <w:tc>
          <w:tcPr>
            <w:tcW w:w="1384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Доксакурий</w:t>
            </w:r>
          </w:p>
        </w:tc>
        <w:tc>
          <w:tcPr>
            <w:tcW w:w="806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Незначительный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Почки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12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Высокая</w:t>
            </w:r>
          </w:p>
        </w:tc>
      </w:tr>
      <w:tr w:rsidR="00BC4020" w:rsidRPr="006F5EC5" w:rsidTr="006F5EC5">
        <w:trPr>
          <w:jc w:val="center"/>
        </w:trPr>
        <w:tc>
          <w:tcPr>
            <w:tcW w:w="1384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Панкуроний</w:t>
            </w:r>
          </w:p>
        </w:tc>
        <w:tc>
          <w:tcPr>
            <w:tcW w:w="806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Почки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5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Низкая</w:t>
            </w:r>
          </w:p>
        </w:tc>
      </w:tr>
      <w:tr w:rsidR="00BC4020" w:rsidRPr="006F5EC5" w:rsidTr="006F5EC5">
        <w:trPr>
          <w:jc w:val="center"/>
        </w:trPr>
        <w:tc>
          <w:tcPr>
            <w:tcW w:w="1384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Пипекуроний</w:t>
            </w:r>
          </w:p>
        </w:tc>
        <w:tc>
          <w:tcPr>
            <w:tcW w:w="806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Почки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6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Высокая</w:t>
            </w:r>
          </w:p>
        </w:tc>
      </w:tr>
      <w:tr w:rsidR="00BC4020" w:rsidRPr="006F5EC5" w:rsidTr="006F5EC5">
        <w:trPr>
          <w:jc w:val="center"/>
        </w:trPr>
        <w:tc>
          <w:tcPr>
            <w:tcW w:w="1384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Векуроний</w:t>
            </w:r>
          </w:p>
        </w:tc>
        <w:tc>
          <w:tcPr>
            <w:tcW w:w="806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Желчь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5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Высокая</w:t>
            </w:r>
          </w:p>
        </w:tc>
      </w:tr>
      <w:tr w:rsidR="00BC4020" w:rsidRPr="006F5EC5" w:rsidTr="006F5EC5">
        <w:trPr>
          <w:jc w:val="center"/>
        </w:trPr>
        <w:tc>
          <w:tcPr>
            <w:tcW w:w="1384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Рокуроний</w:t>
            </w:r>
          </w:p>
        </w:tc>
        <w:tc>
          <w:tcPr>
            <w:tcW w:w="806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Незначительный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Желчь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0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1</w:t>
            </w:r>
          </w:p>
        </w:tc>
        <w:tc>
          <w:tcPr>
            <w:tcW w:w="1095" w:type="dxa"/>
          </w:tcPr>
          <w:p w:rsidR="00BC4020" w:rsidRPr="006F5EC5" w:rsidRDefault="00BC4020" w:rsidP="006F5EC5">
            <w:pPr>
              <w:pStyle w:val="a3"/>
              <w:numPr>
                <w:ilvl w:val="12"/>
                <w:numId w:val="0"/>
              </w:numPr>
              <w:spacing w:line="360" w:lineRule="auto"/>
              <w:rPr>
                <w:sz w:val="20"/>
              </w:rPr>
            </w:pPr>
            <w:r w:rsidRPr="006F5EC5">
              <w:rPr>
                <w:sz w:val="20"/>
              </w:rPr>
              <w:t>Высокая</w:t>
            </w:r>
          </w:p>
        </w:tc>
      </w:tr>
    </w:tbl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</w:p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  <w:r w:rsidRPr="006F5EC5">
        <w:t>По данным литературы, наиболее используемыми недеполяризующими миорелаксантами в мире на сегодняшний день являются атракурий и цисатракурий, доксакурий, мивакурий, векуроний, и быстро набирающий популярность рокуроний. В нашей стране по-прежнему широко используются панкуроний (павулон) и пипекуроний (ардуан). В связи с этим более подробно остановимся на основных и побочных эффектах именно этих представителей класса недеполяризующих релаксантов.</w:t>
      </w:r>
    </w:p>
    <w:p w:rsidR="00BC4020" w:rsidRPr="006F5EC5" w:rsidRDefault="006F5EC5" w:rsidP="006F5EC5">
      <w:pPr>
        <w:pStyle w:val="a3"/>
        <w:numPr>
          <w:ilvl w:val="12"/>
          <w:numId w:val="0"/>
        </w:numPr>
        <w:spacing w:line="360" w:lineRule="auto"/>
        <w:ind w:firstLine="709"/>
        <w:jc w:val="center"/>
        <w:rPr>
          <w:b/>
        </w:rPr>
      </w:pPr>
      <w:r>
        <w:br w:type="page"/>
      </w:r>
      <w:r w:rsidR="00BC4020" w:rsidRPr="006F5EC5">
        <w:rPr>
          <w:b/>
        </w:rPr>
        <w:t>Атракурий</w:t>
      </w:r>
    </w:p>
    <w:p w:rsidR="006F5EC5" w:rsidRDefault="006F5EC5" w:rsidP="006F5EC5">
      <w:pPr>
        <w:pStyle w:val="a3"/>
        <w:numPr>
          <w:ilvl w:val="12"/>
          <w:numId w:val="0"/>
        </w:numPr>
        <w:spacing w:line="360" w:lineRule="auto"/>
        <w:ind w:firstLine="709"/>
      </w:pPr>
    </w:p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  <w:r w:rsidRPr="006F5EC5">
        <w:t>Несомненным достоинством препарата является его способность подвергаться спонтанному разрушению в организме за счет двух процессов – гидролиза эфирной связи (катализируется неспецифическими эстеразами без участия ацетилхолин- и псевдохолинэстеразы), и элиминации Хоффмана (спонтанное неферментативное разрушение при физиологических значениях рН и температуры тела). С мочой и желчью выводится не более 10% препарата.</w:t>
      </w:r>
    </w:p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  <w:r w:rsidRPr="006F5EC5">
        <w:t>Для интубации трахеи необходима доза 0,5 мг/кг. Эффективный блок развивается через 2,3±1,1 мин (</w:t>
      </w:r>
      <w:r w:rsidRPr="006F5EC5">
        <w:rPr>
          <w:lang w:val="en-US"/>
        </w:rPr>
        <w:t>Mellinghoff</w:t>
      </w:r>
      <w:r w:rsidRPr="006F5EC5">
        <w:t xml:space="preserve">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 xml:space="preserve">., 1996) или даже через 1,2 мин (Debaene B.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>., 1995). Продолжительность блока при этом составляет 20-30 мин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 xml:space="preserve">., 1992). Нагрузочная доза для интраоперационной миорелаксации – 0,25 мг/кг, поддерживающая – 0,1 мг/кг каждые 10-20 мин, может применяться инфузия 5-9 мкг/кг/мин. </w:t>
      </w:r>
      <w:r w:rsidRPr="006F5EC5">
        <w:rPr>
          <w:lang w:val="en-US"/>
        </w:rPr>
        <w:t>Beattie</w:t>
      </w:r>
      <w:r w:rsidRPr="006F5EC5">
        <w:t xml:space="preserve"> </w:t>
      </w:r>
      <w:r w:rsidRPr="006F5EC5">
        <w:rPr>
          <w:lang w:val="en-US"/>
        </w:rPr>
        <w:t>W</w:t>
      </w:r>
      <w:r w:rsidRPr="006F5EC5">
        <w:t>.</w:t>
      </w:r>
      <w:r w:rsidRPr="006F5EC5">
        <w:rPr>
          <w:lang w:val="en-US"/>
        </w:rPr>
        <w:t>S</w:t>
      </w:r>
      <w:r w:rsidRPr="006F5EC5">
        <w:t>. с соавт. (1992) сообщает об эффективности инфузионной дозы 7,6±1,1 мкг/кг/мин.</w:t>
      </w:r>
    </w:p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  <w:r w:rsidRPr="006F5EC5">
        <w:t xml:space="preserve">Причем даже после длительной инфузии препарата при проведении интенсивной терапии отмечается быстрое спонтанное восстановление нейромышечной проводимости. 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>. (1992) приводит результаты исследования, в котором после 90-часовой инфузии препарата прекращение блока наступало в среднем через 39 мин, что связано с отсутствием кумуляции на фоне разрушения атракуриума за счет элиминации Хоффмана.</w:t>
      </w:r>
    </w:p>
    <w:p w:rsidR="00BC4020" w:rsidRPr="006F5EC5" w:rsidRDefault="00BC4020" w:rsidP="006F5EC5">
      <w:pPr>
        <w:pStyle w:val="a3"/>
        <w:numPr>
          <w:ilvl w:val="12"/>
          <w:numId w:val="0"/>
        </w:numPr>
        <w:spacing w:line="360" w:lineRule="auto"/>
        <w:ind w:firstLine="709"/>
      </w:pPr>
      <w:r w:rsidRPr="006F5EC5">
        <w:t>Побочные эффекты препарата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 xml:space="preserve">., 1992; 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>., 1996):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rPr>
          <w:iCs/>
        </w:rPr>
        <w:t>артериальная гипотензия и тахикардия</w:t>
      </w:r>
      <w:r w:rsidRPr="006F5EC5">
        <w:t>, связанные с высвобождением гистамина, возникают редко, особенно при медленном введении и исключении передозировки. Наблюдаются преимущественно у пожилых пациентов и больных с гиповолемией;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rPr>
          <w:iCs/>
        </w:rPr>
        <w:t>бронхоспазм</w:t>
      </w:r>
      <w:r w:rsidRPr="006F5EC5">
        <w:t xml:space="preserve"> может возникать даже без имеющейся в анамнезе бронхиальной астмы;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</w:pPr>
      <w:r w:rsidRPr="006F5EC5">
        <w:rPr>
          <w:iCs/>
        </w:rPr>
        <w:t>возбуждение ЦНС и судороги</w:t>
      </w:r>
      <w:r w:rsidRPr="006F5EC5">
        <w:t>, связанные с действием метаболита атракуриума – лауданозина, могут наблюдаться при абсолютной или относительной (печеночная недостаточность) передозировке препарата.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rPr>
          <w:lang w:val="en-US"/>
        </w:rPr>
        <w:t xml:space="preserve">Kumar A. A. et al. </w:t>
      </w:r>
      <w:r w:rsidRPr="006F5EC5">
        <w:t>(1993) описали тяжелый анафилактический шок после введения атракурия, потребовавший больших доз адреналина и длительной сердечно-легочной реанимации.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Необходимо помнить, что гипотермия и ацидоз, затрудняя элиминацию Хоффмана, удлиняют действие препарата (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>., 1996).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  <w:jc w:val="center"/>
        <w:rPr>
          <w:b/>
        </w:rPr>
      </w:pPr>
      <w:r w:rsidRPr="006F5EC5">
        <w:rPr>
          <w:b/>
        </w:rPr>
        <w:t>Цисатракурий</w:t>
      </w:r>
    </w:p>
    <w:p w:rsidR="006F5EC5" w:rsidRDefault="006F5EC5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Этот препарат является изомером атракурия. Он также подвергается элиминации Хоффмана, однако, в отличие от атракурия, не разрушается неспецифическими эстеразами. Печеночная и почечная недостаточность не влияют на метаболизм цисатракурия (</w:t>
      </w:r>
      <w:r w:rsidRPr="006F5EC5">
        <w:rPr>
          <w:lang w:val="en-US"/>
        </w:rPr>
        <w:t>Prielipp</w:t>
      </w:r>
      <w:r w:rsidRPr="006F5EC5">
        <w:t xml:space="preserve"> </w:t>
      </w:r>
      <w:r w:rsidRPr="006F5EC5">
        <w:rPr>
          <w:lang w:val="en-US"/>
        </w:rPr>
        <w:t>R</w:t>
      </w:r>
      <w:r w:rsidRPr="006F5EC5">
        <w:t>.</w:t>
      </w:r>
      <w:r w:rsidRPr="006F5EC5">
        <w:rPr>
          <w:lang w:val="en-US"/>
        </w:rPr>
        <w:t>C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 xml:space="preserve">., 1995; </w:t>
      </w:r>
      <w:r w:rsidRPr="006F5EC5">
        <w:rPr>
          <w:lang w:val="en-US"/>
        </w:rPr>
        <w:t>De</w:t>
      </w:r>
      <w:r w:rsidRPr="006F5EC5">
        <w:t xml:space="preserve"> </w:t>
      </w:r>
      <w:r w:rsidRPr="006F5EC5">
        <w:rPr>
          <w:lang w:val="en-US"/>
        </w:rPr>
        <w:t>Wolf</w:t>
      </w:r>
      <w:r w:rsidRPr="006F5EC5">
        <w:t xml:space="preserve"> </w:t>
      </w:r>
      <w:r w:rsidRPr="006F5EC5">
        <w:rPr>
          <w:lang w:val="en-US"/>
        </w:rPr>
        <w:t>A</w:t>
      </w:r>
      <w:r w:rsidRPr="006F5EC5">
        <w:t>.</w:t>
      </w:r>
      <w:r w:rsidRPr="006F5EC5">
        <w:rPr>
          <w:lang w:val="en-US"/>
        </w:rPr>
        <w:t>M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 xml:space="preserve">., 1996; 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 xml:space="preserve">., 1996). 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Доза для интубации составляет 0,1 – 0,15 мг/кг. Причем при введении соответственно 0,1; 0,15 и 0,2 мг/кг</w:t>
      </w:r>
      <w:r w:rsidR="006F5EC5">
        <w:t xml:space="preserve"> </w:t>
      </w:r>
      <w:r w:rsidRPr="006F5EC5">
        <w:t>эффективный блок развивается через 4,6; 3,4 и 2,8 мин, а продолжительность его составляет 45; 55 и 61 мин. Интубировать можно соответственно через 2 мин после введения 0,1 мг/кг и через 1,5 мин при введении большей дозы (</w:t>
      </w:r>
      <w:r w:rsidRPr="006F5EC5">
        <w:rPr>
          <w:lang w:val="en-US"/>
        </w:rPr>
        <w:t>Bluestein</w:t>
      </w:r>
      <w:r w:rsidRPr="006F5EC5">
        <w:t xml:space="preserve"> </w:t>
      </w:r>
      <w:r w:rsidRPr="006F5EC5">
        <w:rPr>
          <w:lang w:val="en-US"/>
        </w:rPr>
        <w:t>L</w:t>
      </w:r>
      <w:r w:rsidRPr="006F5EC5">
        <w:t>.</w:t>
      </w:r>
      <w:r w:rsidRPr="006F5EC5">
        <w:rPr>
          <w:lang w:val="en-US"/>
        </w:rPr>
        <w:t>S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>., 1996). По данным Бунянята А.А. с соавт. (1999) и Мизикова В.М. с соавт. (1999) после введения 0,15 мг/кг препарата хорошие условия для интубации трахеи возникают через 3 мин.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Для поддержания релаксации используется инфузия со скоростью 1-2 мкг/кг/мин (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>., 1996) или повторные болюсные дозы 0,03 мг/кг (Бунятян А.А. с соавт., 1999; Мизиков В.М. с соавт., 1999). Повторные болюсные дозы обеспечивают клинически эффективную миоплегию в течение 18-26 мин, а продолжительность 95%-го блока после первоначальной дозы 0,15 мг/кг составила, в среднем, 54</w:t>
      </w:r>
      <w:r w:rsidRPr="006F5EC5">
        <w:rPr>
          <w:szCs w:val="28"/>
          <w:lang w:val="en-US"/>
        </w:rPr>
        <w:sym w:font="Symbol" w:char="F0B1"/>
      </w:r>
      <w:r w:rsidRPr="006F5EC5">
        <w:t>10 мин (Бунятян А.А. с соавт., 1999).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rPr>
          <w:lang w:val="en-US"/>
        </w:rPr>
        <w:t xml:space="preserve">Mellinghoff H. et al. </w:t>
      </w:r>
      <w:r w:rsidRPr="006F5EC5">
        <w:t>(1996) в качестве первоначальной дозы использовали 0,1 мг/кг цисатракуриума. Эффект развивался через 3,1±1,0 мин. Для поддержания 95%-ного блока требовалась инфузия препарата со скоростью 1,5±0,4 мкг/кг/мин. После прекращения инфузии спонтанное время восстановления от 25% до 75% TOF составило 18±11 мин, при проведении декураризации - 5±2 мин.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В отличие от атракурия препарат не вызывает повышения уровня гистамина в плазме и, соответственно, не влияет на ЧСС, АД и вегетативную нервную систему. Не отмечено также кожных аллергических реакций и бронхоспазма (</w:t>
      </w:r>
      <w:r w:rsidRPr="006F5EC5">
        <w:rPr>
          <w:lang w:val="en-US"/>
        </w:rPr>
        <w:t>Lepage</w:t>
      </w:r>
      <w:r w:rsidRPr="006F5EC5">
        <w:t xml:space="preserve"> </w:t>
      </w:r>
      <w:r w:rsidRPr="006F5EC5">
        <w:rPr>
          <w:lang w:val="en-US"/>
        </w:rPr>
        <w:t>J</w:t>
      </w:r>
      <w:r w:rsidRPr="006F5EC5">
        <w:t>.-</w:t>
      </w:r>
      <w:r w:rsidRPr="006F5EC5">
        <w:rPr>
          <w:lang w:val="en-US"/>
        </w:rPr>
        <w:t>Y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>., 1996; Бунятян А.А. с соавт., 1999; Мизиков В.М. с соавт., 1999).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Токсичность лауданозина, образующегося при элиминации Хоффмана, и чувствительность к температуре и рН аналогичны таковым у атракуриума (</w:t>
      </w:r>
      <w:r w:rsidRPr="006F5EC5">
        <w:rPr>
          <w:lang w:val="en-US"/>
        </w:rPr>
        <w:t>De</w:t>
      </w:r>
      <w:r w:rsidRPr="006F5EC5">
        <w:t xml:space="preserve"> </w:t>
      </w:r>
      <w:r w:rsidRPr="006F5EC5">
        <w:rPr>
          <w:lang w:val="en-US"/>
        </w:rPr>
        <w:t>Wolf</w:t>
      </w:r>
      <w:r w:rsidRPr="006F5EC5">
        <w:t xml:space="preserve"> </w:t>
      </w:r>
      <w:r w:rsidRPr="006F5EC5">
        <w:rPr>
          <w:lang w:val="en-US"/>
        </w:rPr>
        <w:t>A</w:t>
      </w:r>
      <w:r w:rsidRPr="006F5EC5">
        <w:t>.</w:t>
      </w:r>
      <w:r w:rsidRPr="006F5EC5">
        <w:rPr>
          <w:lang w:val="en-US"/>
        </w:rPr>
        <w:t>M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 xml:space="preserve">., 1996; 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>., 1996).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К преимуществу цисатракурия по сревнению с векуронием и рокуронием является его дозонезависимая скорость прекращение блока. Преимущество по сравнению с атракурием сводится практически только к явно меньшей либерации гистамина и трехкратному преимуществу по силе действия (</w:t>
      </w:r>
      <w:r w:rsidRPr="006F5EC5">
        <w:rPr>
          <w:lang w:val="en-US"/>
        </w:rPr>
        <w:t>Prielipp</w:t>
      </w:r>
      <w:r w:rsidRPr="006F5EC5">
        <w:t xml:space="preserve"> </w:t>
      </w:r>
      <w:r w:rsidRPr="006F5EC5">
        <w:rPr>
          <w:lang w:val="en-US"/>
        </w:rPr>
        <w:t>R</w:t>
      </w:r>
      <w:r w:rsidRPr="006F5EC5">
        <w:t>.</w:t>
      </w:r>
      <w:r w:rsidRPr="006F5EC5">
        <w:rPr>
          <w:lang w:val="en-US"/>
        </w:rPr>
        <w:t>C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 xml:space="preserve">., 1995; </w:t>
      </w:r>
      <w:r w:rsidRPr="006F5EC5">
        <w:rPr>
          <w:lang w:val="en-US"/>
        </w:rPr>
        <w:t>Bluestein</w:t>
      </w:r>
      <w:r w:rsidRPr="006F5EC5">
        <w:t xml:space="preserve"> </w:t>
      </w:r>
      <w:r w:rsidRPr="006F5EC5">
        <w:rPr>
          <w:lang w:val="en-US"/>
        </w:rPr>
        <w:t>L</w:t>
      </w:r>
      <w:r w:rsidRPr="006F5EC5">
        <w:t>.</w:t>
      </w:r>
      <w:r w:rsidRPr="006F5EC5">
        <w:rPr>
          <w:lang w:val="en-US"/>
        </w:rPr>
        <w:t>S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 xml:space="preserve">., 1996; </w:t>
      </w:r>
      <w:r w:rsidRPr="006F5EC5">
        <w:rPr>
          <w:lang w:val="en-US"/>
        </w:rPr>
        <w:t>De</w:t>
      </w:r>
      <w:r w:rsidRPr="006F5EC5">
        <w:t xml:space="preserve"> </w:t>
      </w:r>
      <w:r w:rsidRPr="006F5EC5">
        <w:rPr>
          <w:lang w:val="en-US"/>
        </w:rPr>
        <w:t>Wolf</w:t>
      </w:r>
      <w:r w:rsidRPr="006F5EC5">
        <w:t xml:space="preserve"> </w:t>
      </w:r>
      <w:r w:rsidRPr="006F5EC5">
        <w:rPr>
          <w:lang w:val="en-US"/>
        </w:rPr>
        <w:t>A</w:t>
      </w:r>
      <w:r w:rsidRPr="006F5EC5">
        <w:t>.</w:t>
      </w:r>
      <w:r w:rsidRPr="006F5EC5">
        <w:rPr>
          <w:lang w:val="en-US"/>
        </w:rPr>
        <w:t>M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>., 1996). Восстановление после длительной инфузии цисатракурия происходит быстрее, нежели после аналогичного введения векурония (</w:t>
      </w:r>
      <w:r w:rsidRPr="006F5EC5">
        <w:rPr>
          <w:lang w:val="en-US"/>
        </w:rPr>
        <w:t>Prielipp</w:t>
      </w:r>
      <w:r w:rsidRPr="006F5EC5">
        <w:t xml:space="preserve"> </w:t>
      </w:r>
      <w:r w:rsidRPr="006F5EC5">
        <w:rPr>
          <w:lang w:val="en-US"/>
        </w:rPr>
        <w:t>R</w:t>
      </w:r>
      <w:r w:rsidRPr="006F5EC5">
        <w:t>.</w:t>
      </w:r>
      <w:r w:rsidRPr="006F5EC5">
        <w:rPr>
          <w:lang w:val="en-US"/>
        </w:rPr>
        <w:t>C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 xml:space="preserve">., 1995). 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Таким образом, как отмечает большинство исследователей, цисатракурий является сильным недеполяризующим миорелаксантом средней продолжительности действия, характеризующийся отсутствием влияния на кровообращение и не вызывающий высвобождения гистамина, что позволяет использовать его у пациентов с высоким операционно-анестезиологическим риском.</w:t>
      </w:r>
    </w:p>
    <w:p w:rsidR="00BC4020" w:rsidRPr="006F5EC5" w:rsidRDefault="00BC4020" w:rsidP="006F5EC5">
      <w:pPr>
        <w:pStyle w:val="a3"/>
        <w:spacing w:line="360" w:lineRule="auto"/>
        <w:jc w:val="center"/>
        <w:rPr>
          <w:b/>
        </w:rPr>
      </w:pPr>
      <w:r w:rsidRPr="006F5EC5">
        <w:rPr>
          <w:b/>
        </w:rPr>
        <w:t>Мивакурий</w:t>
      </w:r>
    </w:p>
    <w:p w:rsidR="006F5EC5" w:rsidRDefault="006F5EC5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Отличительной особенностью данного препарата является его гидролиз, подобно сукцинилхолину, с помощью псевдохолинэстеразы. Хотя при наличии даже минимально восстановленного мышечного тонуса эффективны в плане декураризации антихолинэстеразные препараты. При печеночной и почечной (?) недостаточности снижается концентрация холинэстеразы, увеличивая тем самым продолжительность действия мивакрона.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Для проведения интубации трахеи необходима доза 0,15-0,2 мг/кг. В дальнейшем рекомендуется поддерживать миорелаксацию инфузией со скоростью 4-10 мкг/кг/мин или дробным введением по 0,1-0,15 мг/кг. Полный мышечный блок после введения интубационной дозы развивается через 1,5-2,2 мин, продолжительность блока при этом составляет 10-12 мин (Башев Н.Н. с соавт., 1998). По другим данным, начало действия препарата – 2-3 мин, а продолжительность блока составляет около 20 мин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 xml:space="preserve">., 1992; 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>., 1996; Гриненко, Т.Ф. с соавт., 1998).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Мивакурий способен вызывать либерацию гистамина, что может проявляться артериальной гипотензией и тахикардией. Поэтому рекомендуют в премедикацию включать антигистаминные препараты (Башев Н.Н. с соавт., 1998). Хотя по данным Ровиной А.К. с соавт. (1998), выраженные изменения гемодинамики, гистаминогенные осложнения при применении мивакурия отсутствовали. 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 xml:space="preserve">. (1992) указывает, что гипотензия развивается чаще при введении дозы, выше, чем 0,15 мг/кг, или при быстром болюсном введении препарата (быстрее, чем за 60 с). 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Мивакурий снижает внутриглазное давление, поэтому рекомендуется для внутриглазных операций (Малоярославцев В.Д. с соавт., 1998).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В целом, мивакрон считается препаратом выбора при коротких операциях, особенно в стационаре одного дня (Гриненко Т.Ф. с соавт., 1998).</w:t>
      </w:r>
    </w:p>
    <w:p w:rsidR="00BC4020" w:rsidRPr="006F5EC5" w:rsidRDefault="006F5EC5" w:rsidP="006F5EC5">
      <w:pPr>
        <w:pStyle w:val="a3"/>
        <w:spacing w:line="360" w:lineRule="auto"/>
        <w:jc w:val="center"/>
        <w:rPr>
          <w:b/>
        </w:rPr>
      </w:pPr>
      <w:r>
        <w:br w:type="page"/>
      </w:r>
      <w:r w:rsidR="00BC4020" w:rsidRPr="006F5EC5">
        <w:rPr>
          <w:b/>
        </w:rPr>
        <w:t>Доксакурий</w:t>
      </w:r>
    </w:p>
    <w:p w:rsidR="006F5EC5" w:rsidRDefault="006F5EC5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Частично гидролизуется псевдохолинэстеразой. Основной же путь элиминации – выделение почками (до 40%) и с желчью </w:t>
      </w:r>
      <w:r w:rsidRPr="006F5EC5">
        <w:rPr>
          <w:lang w:val="en-US"/>
        </w:rPr>
        <w:t xml:space="preserve">(Sharpe M.D., 1992; Morgan G.E., Mikhail M.S., 1996). </w:t>
      </w:r>
      <w:r w:rsidRPr="006F5EC5">
        <w:t>Поэтому его эффект продлевается при печеночной и/или почечной недостаточности.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Для проведения интубации необходима доза 0,05 мг/кг. При этом приемлемые условия создаются через 5 (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>., 1996) или 6 мин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>., 1992), при этом средняя продолжительность блока – 83 мин (60-90 мин) – наибольшая среди всех миорелаксантов. Нагрузочная доза для интраоперационной миорелаксации 0,02 мг/кг, для поддержания достаточно вводить препарат дробно по 0,005 мг/кг.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Доксакурий не высвобождает гистамин и поэтому не влияет на кровообращение.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В связи с невыраженными побочными эффектами и большой продолжительностью действия считается наиболее удобным для длительной релаксации при проведении интенсивной терапии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>., 1992).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  <w:jc w:val="center"/>
        <w:rPr>
          <w:b/>
        </w:rPr>
      </w:pPr>
      <w:r w:rsidRPr="006F5EC5">
        <w:rPr>
          <w:b/>
        </w:rPr>
        <w:t>Панкуроний (павулон)</w:t>
      </w:r>
    </w:p>
    <w:p w:rsidR="006F5EC5" w:rsidRDefault="006F5EC5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В определенной степени подвергается деацетилированию в печени, кроме того, основная часть препарата выводится почками. Поэтому печеночная и почечная недостаточность влияют на фармакокинетику препарата.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Для интубации трахеи требуется доза 0,08-0,12 мг/кг. Удовлетворительные условия для интубации возникают через 2-3 мин. Нагрузочная доза для миорелаксации – 0,04 мг/кг, поддерживающая доза 0,01 мг/кг каждые 20-40 мин (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 xml:space="preserve">., 1996). По 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>. (1992), после введения 0,1 мг/кг препарата удовлетворительные условия для интубации трахеи возникают через 90-120 с. При этом блок длится до 60 мин. Для проведения продленной миоплегии рекомендуется использовать инфузию 0,02-0,04 мг/кг/ч.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Почечная, печеночная недостаточность, цирроз печени, нарушение оттока желчи удлиняют действие препарата (вплоть до двухкратного). Поэтому следует осторожно применять его в интенсивной терапии, где возможно существенная пролонгация нейромышечного блока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 xml:space="preserve">., 1992). Для продленной миоплегии в интенсивной терапии Khuenl-Brady K.S. с соавт. (1994) рекомендует среднюю дозу 3 мг/ч. 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Отличительной особенностью препарата является его способность блокировать влияние вагуса и высвобождать катехоламины из адренергических нервных окончаний, а также ингибировать реаптейк норадреналина. В связи с этим побочными эффектами препарата являются тахикардия, умеренная гипертензия, аритмии, повышение потребности миокарда в кислороде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 xml:space="preserve">., 1992; 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>., 1996).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В целом, препарат имеет достаточно неприятные побочные эффекты, при печеночно-почечной недостаточности действие его может существенно удлиняться, но среди всех недеполяризующих релаксантов среднего и длительного действия – это самый дешевый препарат. 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  <w:jc w:val="center"/>
        <w:rPr>
          <w:b/>
        </w:rPr>
      </w:pPr>
      <w:r w:rsidRPr="006F5EC5">
        <w:rPr>
          <w:b/>
        </w:rPr>
        <w:t>Векуроний</w:t>
      </w:r>
    </w:p>
    <w:p w:rsidR="006F5EC5" w:rsidRDefault="006F5EC5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Очень близок по химической структуре к панкуронию, в связи с чем значительно менее выражены побочные эффекты.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В небольшой степени метаболизируется в печени, выделяется с желчью и почками. Векуроний равноэффективен панкуронию, вводится в аналогичных дозах. При введении 0,1 мг/кг через 90-120 с создавались идеальные условия для интубации. Длительность действия препарат при этом составляла от 20-25 мин (Налапко Ю.И., 1998) до 45 мин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 xml:space="preserve">., 1992). 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Применение его в начальной дозе 0,4 мг/кг сокращало время до развития блока до 78 с без проявления каких-либо гемодинамических эффектов. Применение дозы 0,5 мг/кг вызывало развитие блока, сходное по быстроте с сукцинилхолином. Поэтому 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>. (1992) заключает, что у больных, которым противопоказан сукцинилхолин, векуроний в дозе 0,4-0,5 мг/кг является альтернативой для проведения интубации трахеи. Однако при этом средняя продолжительность блока составляет 115 мин.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rPr>
          <w:lang w:val="en-US"/>
        </w:rPr>
        <w:t>Huemer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 с соавт. (1995) рекомендует для ускорения развития блока вводить сначала 0,01 мг/кг, затем через 4 мин 0,05 мг/кг. При этом спустя 1-2 мин после введения второй дозы возникают хорошие условия для интубации трахеи. Продолжительность блока при этом небольшая, что важно для амбулаторной анестезиологии.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Приращиваемая болюсная доза 0,03 мг/кг, продолжительность ее действия 25-30 мин (Бабаева Н.П., 1998). Возможна инфузия в дозе 1-2 мкг/кг/мин (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>., 1996) или 0,1-0,2 мг/кг/ч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>., 1992). Однако последнее относится преимущественно к операциям, поскольку при проведении интенсивной терапии либо могут потребоваться большие дозы, либо (при наличии почечной или печеночной недостаточности, холестаза) блок может быть значительно пролонгирован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>., 1992). Во всяком случае, в литературе нет единого мнения по поводу целесообразности применения векурония для миоплегии в интенсивной терапии, хотя в этом смысле привлекает практически полное отсутствие у него побочных эффектов.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rPr>
          <w:lang w:val="en-US"/>
        </w:rPr>
        <w:t>Beattie</w:t>
      </w:r>
      <w:r w:rsidRPr="006F5EC5">
        <w:t xml:space="preserve"> </w:t>
      </w:r>
      <w:r w:rsidRPr="006F5EC5">
        <w:rPr>
          <w:lang w:val="en-US"/>
        </w:rPr>
        <w:t>W</w:t>
      </w:r>
      <w:r w:rsidRPr="006F5EC5">
        <w:t>.</w:t>
      </w:r>
      <w:r w:rsidRPr="006F5EC5">
        <w:rPr>
          <w:lang w:val="en-US"/>
        </w:rPr>
        <w:t>S</w:t>
      </w:r>
      <w:r w:rsidRPr="006F5EC5">
        <w:t>. с соавт. (1992) отмечает, что при необходимой продолжительности блока до 30 мин, следует инфузировать препарат со скоростью 1,01</w:t>
      </w:r>
      <w:r w:rsidRPr="006F5EC5">
        <w:rPr>
          <w:szCs w:val="28"/>
          <w:lang w:val="en-US"/>
        </w:rPr>
        <w:sym w:font="Symbol" w:char="F0B1"/>
      </w:r>
      <w:r w:rsidRPr="006F5EC5">
        <w:t>0,16 мкг/кг/мин, при блоке до 60 мин – 0,89</w:t>
      </w:r>
      <w:r w:rsidRPr="006F5EC5">
        <w:rPr>
          <w:szCs w:val="28"/>
          <w:lang w:val="en-US"/>
        </w:rPr>
        <w:sym w:font="Symbol" w:char="F0B1"/>
      </w:r>
      <w:r w:rsidRPr="006F5EC5">
        <w:t>0,12 мкг/кг/мин, а при блоке 90 и более мин – 0,85</w:t>
      </w:r>
      <w:r w:rsidRPr="006F5EC5">
        <w:rPr>
          <w:szCs w:val="28"/>
          <w:lang w:val="en-US"/>
        </w:rPr>
        <w:sym w:font="Symbol" w:char="F0B1"/>
      </w:r>
      <w:r w:rsidRPr="006F5EC5">
        <w:t>0,17 мкг/кг/мин (в среднем, 0,94</w:t>
      </w:r>
      <w:r w:rsidRPr="006F5EC5">
        <w:rPr>
          <w:szCs w:val="28"/>
          <w:lang w:val="en-US"/>
        </w:rPr>
        <w:sym w:font="Symbol" w:char="F0B1"/>
      </w:r>
      <w:r w:rsidRPr="006F5EC5">
        <w:t>0,23 мкг/кг/мин). Подобное уменьшение скорости инфузии для поддержания достаточной релаксации (что свидетельствует о кумуляции) отметил и Martineau R.J. с соавт. (1992). В его исследовании скорость инфузии оказалось возможным уменьшить до 0,47</w:t>
      </w:r>
      <w:r w:rsidRPr="006F5EC5">
        <w:rPr>
          <w:szCs w:val="28"/>
          <w:lang w:val="en-US"/>
        </w:rPr>
        <w:sym w:font="Symbol" w:char="F0B1"/>
      </w:r>
      <w:r w:rsidRPr="006F5EC5">
        <w:t>0,13 мкг/кг/мин.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Длительность действия препарата в целом несколько короче, чем у панкурония, за счет более быстрой элиминации. Влияния на кровообращение не оказывает, поскольку не имеет ганглиоблокирующего эффекта, не высвобождает гистамин. Поэтому рекомендуется для применения у больных с высоким анестезиологическим риском (Бабаева Н.П., 1998), а также в военно-полевой анестезиологии и медицине катастроф (Бакеев Р.Ф., 1998). В последнем случае особую важность приобретают небольшая продолжительность действия, быстрое восстановление мышечного тонуса и спонтанного дыхания, отсутствие кумуляции при повторном введении, что позволяет увеличить пропускную способность этапа медицинской эвакуации, обеспечить, при необходимости, немедленную эвакуацию раненых.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В связи с быстрым восстановлением мышечного тонуса, не требующим применения антихолинэстеразных средств, рекомендуется для применения при торакальных операциях (Кузнецова О.Ю. с соавт., 1998), при лапароскопических холецистэктомиях (Налапко Ю.И., 1998).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Препарат считают оптимальным с позиций критерия стоимость/эффективность при средней продолжительности и длительных операциях (Гриненко Т.Ф. с соавт., 1998).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  <w:jc w:val="center"/>
        <w:rPr>
          <w:b/>
        </w:rPr>
      </w:pPr>
      <w:r w:rsidRPr="006F5EC5">
        <w:rPr>
          <w:b/>
        </w:rPr>
        <w:t>Пипекуроний (ардуан)</w:t>
      </w:r>
    </w:p>
    <w:p w:rsidR="006F5EC5" w:rsidRDefault="006F5EC5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Также очень похож по структуре на панкуроний. Метаболизм незначителен. Элиминация определяется экскрецией через почки (70%) и с желчью (20%). Препарат немного мощнее панкурония. Доза для интубации 0,06-0,1 мг/кг. Дозы для поддержания на 20% меньше, чем у панкурония. Препарат не вызывает высвобождение гистамина и не влияет на кровообращение (</w:t>
      </w:r>
      <w:r w:rsidRPr="006F5EC5">
        <w:rPr>
          <w:lang w:val="en-US"/>
        </w:rPr>
        <w:t>Morgan</w:t>
      </w:r>
      <w:r w:rsidRPr="006F5EC5">
        <w:t xml:space="preserve"> </w:t>
      </w:r>
      <w:r w:rsidRPr="006F5EC5">
        <w:rPr>
          <w:lang w:val="en-US"/>
        </w:rPr>
        <w:t>G</w:t>
      </w:r>
      <w:r w:rsidRPr="006F5EC5">
        <w:t>.</w:t>
      </w:r>
      <w:r w:rsidRPr="006F5EC5">
        <w:rPr>
          <w:lang w:val="en-US"/>
        </w:rPr>
        <w:t>E</w:t>
      </w:r>
      <w:r w:rsidRPr="006F5EC5">
        <w:t xml:space="preserve">., </w:t>
      </w:r>
      <w:r w:rsidRPr="006F5EC5">
        <w:rPr>
          <w:lang w:val="en-US"/>
        </w:rPr>
        <w:t>Mikhail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S</w:t>
      </w:r>
      <w:r w:rsidRPr="006F5EC5">
        <w:t>., 1996). При введении 0,07 мг/кг оптимальные условия для интубации возникают через 3 мин, а клинически эффективный блок длится 70 мин (</w:t>
      </w:r>
      <w:r w:rsidRPr="006F5EC5">
        <w:rPr>
          <w:lang w:val="en-US"/>
        </w:rPr>
        <w:t>Sharpe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>.</w:t>
      </w:r>
      <w:r w:rsidRPr="006F5EC5">
        <w:rPr>
          <w:lang w:val="en-US"/>
        </w:rPr>
        <w:t>D</w:t>
      </w:r>
      <w:r w:rsidRPr="006F5EC5">
        <w:t>., 1992).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Так же, как и для панкурония, для продленной миоплегии в интенсивной терапии рекомендуется средняя доза 3 мг/ч (Khuenl-Brady K.S.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 xml:space="preserve">., 1994). 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  <w:jc w:val="center"/>
        <w:rPr>
          <w:b/>
        </w:rPr>
      </w:pPr>
      <w:r w:rsidRPr="006F5EC5">
        <w:rPr>
          <w:b/>
        </w:rPr>
        <w:t>Рокуроний</w:t>
      </w:r>
    </w:p>
    <w:p w:rsidR="006F5EC5" w:rsidRDefault="006F5EC5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Не подвергается метаболизму и элиминируется в основном с желчью, меньше через почки. Причем, по данным Суслова В.В. с соавт</w:t>
      </w:r>
      <w:r w:rsidR="006F5EC5">
        <w:t xml:space="preserve"> </w:t>
      </w:r>
      <w:r w:rsidRPr="006F5EC5">
        <w:t>(1998), фармакодинамические характеристики препарата не зависят от степени почечной недостаточности. Мощность препарата значительно ниже, чем у других релаксантов, в частности, соотношение его силы по сравнению с атракуриумом и векурониумом выглядит как 1 : 1,2 : 8,5 (</w:t>
      </w:r>
      <w:r w:rsidRPr="006F5EC5">
        <w:rPr>
          <w:lang w:val="en-US"/>
        </w:rPr>
        <w:t>Bartkowski</w:t>
      </w:r>
      <w:r w:rsidRPr="006F5EC5">
        <w:t xml:space="preserve"> </w:t>
      </w:r>
      <w:r w:rsidRPr="006F5EC5">
        <w:rPr>
          <w:lang w:val="en-US"/>
        </w:rPr>
        <w:t>R</w:t>
      </w:r>
      <w:r w:rsidRPr="006F5EC5">
        <w:t>.</w:t>
      </w:r>
      <w:r w:rsidRPr="006F5EC5">
        <w:rPr>
          <w:lang w:val="en-US"/>
        </w:rPr>
        <w:t>R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>., 1993). Для проведения интубации необходимо ввести 0,45-0,6 мг/кг препарата.</w:t>
      </w:r>
      <w:r w:rsidR="006F5EC5">
        <w:t xml:space="preserve"> </w:t>
      </w:r>
      <w:r w:rsidRPr="006F5EC5">
        <w:t>После введения 0,6 мг/кг через 90 с создаются хорошие или отличные условия для интубации (</w:t>
      </w:r>
      <w:r w:rsidRPr="006F5EC5">
        <w:rPr>
          <w:lang w:val="en-US"/>
        </w:rPr>
        <w:t>Marenovic</w:t>
      </w:r>
      <w:r w:rsidRPr="006F5EC5">
        <w:t xml:space="preserve"> </w:t>
      </w:r>
      <w:r w:rsidRPr="006F5EC5">
        <w:rPr>
          <w:lang w:val="en-US"/>
        </w:rPr>
        <w:t>T</w:t>
      </w:r>
      <w:r w:rsidRPr="006F5EC5">
        <w:t xml:space="preserve">., </w:t>
      </w:r>
      <w:r w:rsidRPr="006F5EC5">
        <w:rPr>
          <w:lang w:val="en-US"/>
        </w:rPr>
        <w:t>Markovich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 xml:space="preserve">., 1998). А </w:t>
      </w:r>
      <w:r w:rsidRPr="006F5EC5">
        <w:rPr>
          <w:lang w:val="en-US"/>
        </w:rPr>
        <w:t>Puuhringer</w:t>
      </w:r>
      <w:r w:rsidRPr="006F5EC5">
        <w:t xml:space="preserve"> </w:t>
      </w:r>
      <w:r w:rsidRPr="006F5EC5">
        <w:rPr>
          <w:lang w:val="en-US"/>
        </w:rPr>
        <w:t>F</w:t>
      </w:r>
      <w:r w:rsidRPr="006F5EC5">
        <w:t>.</w:t>
      </w:r>
      <w:r w:rsidRPr="006F5EC5">
        <w:rPr>
          <w:lang w:val="en-US"/>
        </w:rPr>
        <w:t>K</w:t>
      </w:r>
      <w:r w:rsidRPr="006F5EC5">
        <w:t>. с соавт. (1992) отмечал приемлемые условия для интубации трахеи уже через 60 с после применения указанной дозы препарата. Для поддержания рокуроний вводят по 0,15 мг/кг.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Рокуроний в дозе 0,9-1,2 мг/кг начинает действовать практически так же быстро, как сукцинилхолин. Поэтому он удобен для интубации трахеи. Длительность действия и время восстановления после интубационной дозы сходна с таковой у векурония и атракурия, кумуляции не наблюдалось на протяжении 7 последовательных введений, не влияет на гемодинамику и не высвобождает гистамин, дает достаточно выраженный ваголитический эффект. Поэтому препарат приближается к "идеальному" релаксанту (</w:t>
      </w:r>
      <w:r w:rsidRPr="006F5EC5">
        <w:rPr>
          <w:lang w:val="en-US"/>
        </w:rPr>
        <w:t>Marenovic</w:t>
      </w:r>
      <w:r w:rsidRPr="006F5EC5">
        <w:t xml:space="preserve"> </w:t>
      </w:r>
      <w:r w:rsidRPr="006F5EC5">
        <w:rPr>
          <w:lang w:val="en-US"/>
        </w:rPr>
        <w:t>T</w:t>
      </w:r>
      <w:r w:rsidRPr="006F5EC5">
        <w:t xml:space="preserve">., </w:t>
      </w:r>
      <w:r w:rsidRPr="006F5EC5">
        <w:rPr>
          <w:lang w:val="en-US"/>
        </w:rPr>
        <w:t>Markovich</w:t>
      </w:r>
      <w:r w:rsidRPr="006F5EC5">
        <w:t xml:space="preserve"> </w:t>
      </w:r>
      <w:r w:rsidRPr="006F5EC5">
        <w:rPr>
          <w:lang w:val="en-US"/>
        </w:rPr>
        <w:t>M</w:t>
      </w:r>
      <w:r w:rsidRPr="006F5EC5">
        <w:t xml:space="preserve">., 1998; Суслов В.В. с соавт, 1998), и его считают наиболее предпочтительным при операциях у больных пожилого и старческого возраста (Суслов В.В. с соавт, 1998), пациентов </w:t>
      </w:r>
      <w:r w:rsidRPr="006F5EC5">
        <w:rPr>
          <w:lang w:val="en-US"/>
        </w:rPr>
        <w:t>c</w:t>
      </w:r>
      <w:r w:rsidRPr="006F5EC5">
        <w:t xml:space="preserve"> высоким анестезиологическим риском (</w:t>
      </w:r>
      <w:r w:rsidRPr="006F5EC5">
        <w:rPr>
          <w:lang w:val="en-US"/>
        </w:rPr>
        <w:t>McCoy</w:t>
      </w:r>
      <w:r w:rsidRPr="006F5EC5">
        <w:t xml:space="preserve"> </w:t>
      </w:r>
      <w:r w:rsidRPr="006F5EC5">
        <w:rPr>
          <w:lang w:val="en-US"/>
        </w:rPr>
        <w:t>E</w:t>
      </w:r>
      <w:r w:rsidRPr="006F5EC5">
        <w:t>.</w:t>
      </w:r>
      <w:r w:rsidRPr="006F5EC5">
        <w:rPr>
          <w:lang w:val="en-US"/>
        </w:rPr>
        <w:t>P</w:t>
      </w:r>
      <w:r w:rsidRPr="006F5EC5">
        <w:t xml:space="preserve">. </w:t>
      </w:r>
      <w:r w:rsidRPr="006F5EC5">
        <w:rPr>
          <w:lang w:val="en-US"/>
        </w:rPr>
        <w:t>et</w:t>
      </w:r>
      <w:r w:rsidRPr="006F5EC5">
        <w:t xml:space="preserve"> </w:t>
      </w:r>
      <w:r w:rsidRPr="006F5EC5">
        <w:rPr>
          <w:lang w:val="en-US"/>
        </w:rPr>
        <w:t>al</w:t>
      </w:r>
      <w:r w:rsidRPr="006F5EC5">
        <w:t>., 1993).</w:t>
      </w:r>
      <w:r w:rsidR="006F5EC5">
        <w:t xml:space="preserve"> </w:t>
      </w:r>
    </w:p>
    <w:p w:rsidR="00BC4020" w:rsidRPr="006F5EC5" w:rsidRDefault="006F5EC5" w:rsidP="006F5EC5">
      <w:pPr>
        <w:pStyle w:val="a3"/>
        <w:spacing w:line="360" w:lineRule="auto"/>
        <w:jc w:val="center"/>
        <w:rPr>
          <w:b/>
          <w:iCs/>
        </w:rPr>
      </w:pPr>
      <w:r>
        <w:rPr>
          <w:iCs/>
        </w:rPr>
        <w:br w:type="page"/>
      </w:r>
      <w:r w:rsidR="00BC4020" w:rsidRPr="006F5EC5">
        <w:rPr>
          <w:b/>
          <w:iCs/>
        </w:rPr>
        <w:t>Сравнительная оценка препаратов</w:t>
      </w:r>
    </w:p>
    <w:p w:rsidR="006F5EC5" w:rsidRDefault="006F5EC5" w:rsidP="006F5EC5">
      <w:pPr>
        <w:pStyle w:val="a3"/>
        <w:spacing w:line="360" w:lineRule="auto"/>
        <w:rPr>
          <w:lang w:val="en-US"/>
        </w:rPr>
      </w:pPr>
    </w:p>
    <w:p w:rsidR="00BC4020" w:rsidRPr="006F5EC5" w:rsidRDefault="00BC4020" w:rsidP="006F5EC5">
      <w:pPr>
        <w:pStyle w:val="a3"/>
        <w:spacing w:line="360" w:lineRule="auto"/>
      </w:pPr>
      <w:r w:rsidRPr="006F5EC5">
        <w:rPr>
          <w:lang w:val="en-US"/>
        </w:rPr>
        <w:t>J</w:t>
      </w:r>
      <w:r w:rsidRPr="006F5EC5">
        <w:t xml:space="preserve">. </w:t>
      </w:r>
      <w:r w:rsidRPr="006F5EC5">
        <w:rPr>
          <w:lang w:val="en-US"/>
        </w:rPr>
        <w:t>Viby</w:t>
      </w:r>
      <w:r w:rsidRPr="006F5EC5">
        <w:t>-</w:t>
      </w:r>
      <w:r w:rsidRPr="006F5EC5">
        <w:rPr>
          <w:lang w:val="en-US"/>
        </w:rPr>
        <w:t>Mogensen</w:t>
      </w:r>
      <w:r w:rsidRPr="006F5EC5">
        <w:t xml:space="preserve"> (1998) считает, что экономически более выгодно применять более дорогие релаксанты средней и короткой продолжительности действия (векуроний, атракурий) по сравнению с дешевыми но длительно действующими препаратами (панкуроний, тубокурарин), поскольку это значительно (в 4 раза) уменьшает частоту остаточной кураризации и послеоперационных легочных осложнений.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rPr>
          <w:lang w:val="en-US"/>
        </w:rPr>
        <w:t>Beattie</w:t>
      </w:r>
      <w:r w:rsidRPr="006F5EC5">
        <w:t xml:space="preserve"> </w:t>
      </w:r>
      <w:r w:rsidRPr="006F5EC5">
        <w:rPr>
          <w:lang w:val="en-US"/>
        </w:rPr>
        <w:t>W</w:t>
      </w:r>
      <w:r w:rsidRPr="006F5EC5">
        <w:t>.</w:t>
      </w:r>
      <w:r w:rsidRPr="006F5EC5">
        <w:rPr>
          <w:lang w:val="en-US"/>
        </w:rPr>
        <w:t>S</w:t>
      </w:r>
      <w:r w:rsidRPr="006F5EC5">
        <w:t xml:space="preserve">. с соавт. (1992), сравнивая атракурий и векуроний, отмечают, что на прогнозирование времени окончания блока в первом случае влияет только возраст, в случае же векурония, кроме возраста следует учитывать и продолжительность поддерживающей инфузии. В этой же работе указывается, что 19% анестезиологической смертности приходится на острую дыхательную недостаточность в постнаркозном периоде, вызванную остаточным действием релаксантов. До 42% больных поступают в палату пробуждения с признаками неполного восстановления нейромышечной проводимости. Применение же таких препаратов, как атракурий и векуроний (в отличие от, например, панкурония), позволяет снизить частоту осложнений, поскольку время восстановления нейромышечной проводимости до 85%-ного уровня (на фоне декураризации неостигмином) при их использовании в виде инфузии составляет у большинства больных менее 20 мин. 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rPr>
          <w:iCs/>
        </w:rPr>
        <w:t>Влияние некоторых параметров гомеостаза на фармакологию миорелаксантов.</w:t>
      </w:r>
      <w:r w:rsidRPr="006F5EC5">
        <w:t xml:space="preserve"> </w:t>
      </w:r>
      <w:r w:rsidRPr="006F5EC5">
        <w:rPr>
          <w:bCs/>
        </w:rPr>
        <w:t xml:space="preserve">Гипотермия </w:t>
      </w:r>
      <w:r w:rsidRPr="006F5EC5">
        <w:t xml:space="preserve">удлиняет блок за счет угнетения метаболизма и замедления экскреции. Потенцируют действие недеполяризующих миорелаксантов </w:t>
      </w:r>
      <w:r w:rsidRPr="006F5EC5">
        <w:rPr>
          <w:bCs/>
        </w:rPr>
        <w:t>респираторный ацидоз, гипокальциемия, гипокалиемия, гипермагниемия</w:t>
      </w:r>
      <w:r w:rsidRPr="006F5EC5">
        <w:t xml:space="preserve">. </w:t>
      </w:r>
      <w:r w:rsidRPr="006F5EC5">
        <w:rPr>
          <w:bCs/>
        </w:rPr>
        <w:t>Печеночная и почечная недостаточность</w:t>
      </w:r>
      <w:r w:rsidRPr="006F5EC5">
        <w:t xml:space="preserve"> увеличивают объем внеклеточной жидкости и соответственно объем распределения и, тем самым, уменьшают концентрацию препаратов в плазме. В то же время, за счет замедленной элиминации препаратов их продолжительность действия увеличивается. Поэтому рекомендуется использовать большую нагрузочную, но меньшие поддерживающие дозы.</w:t>
      </w:r>
    </w:p>
    <w:p w:rsidR="006F5EC5" w:rsidRDefault="006F5EC5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Таблица 6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(слайд)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Взаимодействие миорелаксантов с другими лекарственными средствами</w:t>
      </w:r>
      <w:r w:rsidR="006F5EC5">
        <w:t xml:space="preserve"> </w:t>
      </w:r>
      <w:r w:rsidRPr="006F5EC5">
        <w:t>(потенцирование "+" и угнетение "–" нейромышечного блока)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3"/>
        <w:gridCol w:w="3176"/>
        <w:gridCol w:w="3192"/>
      </w:tblGrid>
      <w:tr w:rsidR="00BC4020" w:rsidRPr="006F5EC5" w:rsidTr="006F5EC5">
        <w:tc>
          <w:tcPr>
            <w:tcW w:w="3203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Лекарственные средства</w:t>
            </w:r>
          </w:p>
        </w:tc>
        <w:tc>
          <w:tcPr>
            <w:tcW w:w="3176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Деполяризующий блок</w:t>
            </w:r>
          </w:p>
        </w:tc>
        <w:tc>
          <w:tcPr>
            <w:tcW w:w="3192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Недеполяризующий блок</w:t>
            </w:r>
          </w:p>
        </w:tc>
      </w:tr>
      <w:tr w:rsidR="00BC4020" w:rsidRPr="006F5EC5" w:rsidTr="006F5EC5">
        <w:tc>
          <w:tcPr>
            <w:tcW w:w="3203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iCs/>
                <w:sz w:val="20"/>
              </w:rPr>
            </w:pPr>
            <w:r w:rsidRPr="006F5EC5">
              <w:rPr>
                <w:sz w:val="20"/>
              </w:rPr>
              <w:t xml:space="preserve">Антибиотики: </w:t>
            </w:r>
            <w:r w:rsidRPr="006F5EC5">
              <w:rPr>
                <w:iCs/>
                <w:sz w:val="20"/>
              </w:rPr>
              <w:t>стрептомицин, полимиксин, тетрациклин, линкомицин, клиндамицин, бацитрацин</w:t>
            </w:r>
          </w:p>
        </w:tc>
        <w:tc>
          <w:tcPr>
            <w:tcW w:w="3176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3192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</w:tr>
      <w:tr w:rsidR="00BC4020" w:rsidRPr="006F5EC5" w:rsidTr="006F5EC5">
        <w:tc>
          <w:tcPr>
            <w:tcW w:w="3203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 xml:space="preserve">Противосудорожные: </w:t>
            </w:r>
            <w:r w:rsidRPr="006F5EC5">
              <w:rPr>
                <w:iCs/>
                <w:sz w:val="20"/>
              </w:rPr>
              <w:t>фенитоин, карбамазепин</w:t>
            </w:r>
          </w:p>
        </w:tc>
        <w:tc>
          <w:tcPr>
            <w:tcW w:w="3176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?</w:t>
            </w:r>
          </w:p>
        </w:tc>
        <w:tc>
          <w:tcPr>
            <w:tcW w:w="3192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-</w:t>
            </w:r>
          </w:p>
        </w:tc>
      </w:tr>
      <w:tr w:rsidR="00BC4020" w:rsidRPr="006F5EC5" w:rsidTr="006F5EC5">
        <w:tc>
          <w:tcPr>
            <w:tcW w:w="3203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iCs/>
                <w:sz w:val="20"/>
              </w:rPr>
            </w:pPr>
            <w:r w:rsidRPr="006F5EC5">
              <w:rPr>
                <w:sz w:val="20"/>
              </w:rPr>
              <w:t xml:space="preserve">Антиаритмические (в т.ч. местные анестетики): </w:t>
            </w:r>
            <w:r w:rsidRPr="006F5EC5">
              <w:rPr>
                <w:iCs/>
                <w:sz w:val="20"/>
              </w:rPr>
              <w:t>хинидин, лидокаин, блокаторы кальциевых каналов, прокаинамид</w:t>
            </w:r>
          </w:p>
        </w:tc>
        <w:tc>
          <w:tcPr>
            <w:tcW w:w="3176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3192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</w:tr>
      <w:tr w:rsidR="00BC4020" w:rsidRPr="006F5EC5" w:rsidTr="006F5EC5">
        <w:tc>
          <w:tcPr>
            <w:tcW w:w="3203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Ингибиторы ацетилхолинэстеразы</w:t>
            </w:r>
          </w:p>
        </w:tc>
        <w:tc>
          <w:tcPr>
            <w:tcW w:w="3176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3192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-</w:t>
            </w:r>
          </w:p>
        </w:tc>
      </w:tr>
      <w:tr w:rsidR="00BC4020" w:rsidRPr="006F5EC5" w:rsidTr="006F5EC5">
        <w:tc>
          <w:tcPr>
            <w:tcW w:w="3203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Фуросемид:</w:t>
            </w:r>
          </w:p>
          <w:p w:rsidR="00BC4020" w:rsidRPr="006F5EC5" w:rsidRDefault="00BC4020" w:rsidP="006F5EC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</w:rPr>
            </w:pPr>
            <w:r w:rsidRPr="006F5EC5">
              <w:rPr>
                <w:sz w:val="20"/>
              </w:rPr>
              <w:t>более 10 мг/кг;</w:t>
            </w:r>
          </w:p>
          <w:p w:rsidR="00BC4020" w:rsidRPr="006F5EC5" w:rsidRDefault="00BC4020" w:rsidP="006F5EC5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0"/>
              </w:rPr>
            </w:pPr>
            <w:r w:rsidRPr="006F5EC5">
              <w:rPr>
                <w:sz w:val="20"/>
              </w:rPr>
              <w:t>1-4 мг/кг</w:t>
            </w:r>
          </w:p>
        </w:tc>
        <w:tc>
          <w:tcPr>
            <w:tcW w:w="3176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-</w:t>
            </w:r>
          </w:p>
        </w:tc>
        <w:tc>
          <w:tcPr>
            <w:tcW w:w="3192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-</w:t>
            </w:r>
          </w:p>
        </w:tc>
      </w:tr>
      <w:tr w:rsidR="00BC4020" w:rsidRPr="006F5EC5" w:rsidTr="006F5EC5">
        <w:tc>
          <w:tcPr>
            <w:tcW w:w="3203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Ингаляционные анестетики (</w:t>
            </w:r>
            <w:r w:rsidRPr="006F5EC5">
              <w:rPr>
                <w:iCs/>
                <w:sz w:val="20"/>
              </w:rPr>
              <w:t>изофлюран, энфлюран</w:t>
            </w:r>
            <w:r w:rsidRPr="006F5EC5">
              <w:rPr>
                <w:sz w:val="20"/>
              </w:rPr>
              <w:t xml:space="preserve"> &gt; </w:t>
            </w:r>
            <w:r w:rsidRPr="006F5EC5">
              <w:rPr>
                <w:iCs/>
                <w:sz w:val="20"/>
              </w:rPr>
              <w:t>галотан</w:t>
            </w:r>
            <w:r w:rsidRPr="006F5EC5">
              <w:rPr>
                <w:sz w:val="20"/>
              </w:rPr>
              <w:t xml:space="preserve"> &gt; </w:t>
            </w:r>
            <w:r w:rsidRPr="006F5EC5">
              <w:rPr>
                <w:iCs/>
                <w:sz w:val="20"/>
                <w:lang w:val="en-US"/>
              </w:rPr>
              <w:t>N</w:t>
            </w:r>
            <w:r w:rsidRPr="006F5EC5">
              <w:rPr>
                <w:iCs/>
                <w:sz w:val="20"/>
                <w:vertAlign w:val="subscript"/>
              </w:rPr>
              <w:t>2</w:t>
            </w:r>
            <w:r w:rsidRPr="006F5EC5">
              <w:rPr>
                <w:iCs/>
                <w:sz w:val="20"/>
                <w:lang w:val="en-US"/>
              </w:rPr>
              <w:t>O</w:t>
            </w:r>
            <w:r w:rsidRPr="006F5EC5">
              <w:rPr>
                <w:sz w:val="20"/>
              </w:rPr>
              <w:t>)</w:t>
            </w:r>
          </w:p>
        </w:tc>
        <w:tc>
          <w:tcPr>
            <w:tcW w:w="3176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3192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</w:tr>
      <w:tr w:rsidR="00BC4020" w:rsidRPr="006F5EC5" w:rsidTr="006F5EC5">
        <w:tc>
          <w:tcPr>
            <w:tcW w:w="3203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Кетамин</w:t>
            </w:r>
          </w:p>
        </w:tc>
        <w:tc>
          <w:tcPr>
            <w:tcW w:w="3176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?</w:t>
            </w:r>
          </w:p>
        </w:tc>
        <w:tc>
          <w:tcPr>
            <w:tcW w:w="3192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</w:tr>
      <w:tr w:rsidR="00BC4020" w:rsidRPr="006F5EC5" w:rsidTr="006F5EC5">
        <w:tc>
          <w:tcPr>
            <w:tcW w:w="3203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Магния сульфат</w:t>
            </w:r>
          </w:p>
        </w:tc>
        <w:tc>
          <w:tcPr>
            <w:tcW w:w="3176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  <w:tc>
          <w:tcPr>
            <w:tcW w:w="3192" w:type="dxa"/>
          </w:tcPr>
          <w:p w:rsidR="00BC4020" w:rsidRPr="006F5EC5" w:rsidRDefault="00BC4020" w:rsidP="006F5EC5">
            <w:pPr>
              <w:pStyle w:val="a3"/>
              <w:spacing w:line="360" w:lineRule="auto"/>
              <w:ind w:firstLine="0"/>
              <w:rPr>
                <w:sz w:val="20"/>
              </w:rPr>
            </w:pPr>
            <w:r w:rsidRPr="006F5EC5">
              <w:rPr>
                <w:sz w:val="20"/>
              </w:rPr>
              <w:t>+</w:t>
            </w:r>
          </w:p>
        </w:tc>
      </w:tr>
    </w:tbl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1"/>
        <w:spacing w:line="360" w:lineRule="auto"/>
        <w:jc w:val="center"/>
        <w:rPr>
          <w:b/>
        </w:rPr>
      </w:pPr>
      <w:bookmarkStart w:id="17" w:name="_Toc528823376"/>
      <w:r w:rsidRPr="006F5EC5">
        <w:rPr>
          <w:b/>
        </w:rPr>
        <w:t>7. Контроль за нейромышечной проводимостью</w:t>
      </w:r>
      <w:bookmarkEnd w:id="17"/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Для наиболее успешного применения миорелаксантов целесообразно использовать мониторинг нейромышечной проводимости.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Он может быть в варианте механомиографии, электромиографии (наиболее приемлема для научных целей), акцелеромиографии (наиболее удобен в клинической практике).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При этом возможны следующие паттерны стимуляции (слайд):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стимуляция одним импульсом (0,1-1 Гц);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стимуляция серией из 4-х импульсов (2 Гц с интервалом 15 с);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тетаническая стимуляция (30,50 или 100Гц);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посттетаническая стимуляция (50 Гц в течение 5 с, пауза 3 с, затем импульсы с частотой 1 Гц с подсчетом ответов мышцы);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стимуляция "2 вспышки" (2 "вспышки" тетанической стимуляции 50 Гц).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Для стимуляции используются наиболее часто локтевой нерв (мышца, отводящая большой палец) или лицевой нерв (круговая мышца глаза).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Нейромышечный мониторинг позволяет оценивать время интубации трахеи (ориентировочно), развитие максимального блока, контролировать его глубину по ходу анестезии (при проведении интенсивной терапии), определять возможность экстубации (наряду с клиническими признаками).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1"/>
        <w:spacing w:line="360" w:lineRule="auto"/>
        <w:jc w:val="center"/>
        <w:rPr>
          <w:b/>
        </w:rPr>
      </w:pPr>
      <w:bookmarkStart w:id="18" w:name="_Toc528823377"/>
      <w:r w:rsidRPr="006F5EC5">
        <w:rPr>
          <w:b/>
        </w:rPr>
        <w:t>8. Сущность декураризации и методика ее проведения</w:t>
      </w:r>
      <w:bookmarkEnd w:id="18"/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Зачастую возникает необходимость ускорить восстановление нейромышечной проводимости по окончании общей анестезии. Искусственное прекращение действия недеполяризующих миорелаксантов называется декураризацией.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Ее рекомендуется проводить при наличии хотя бы минимально восстановленного мышечного тонуса. При наличии монитора нейромышечной проводимости это соответствует 10% и более от ее исходного уровня. В противном случае риск рекураризации (то есть возобновления действия миорелаксанта высок) чрезвычайно высок.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Для декураризации используются ингибиторы ацетилхолинэстеразы, приводящие к накоплению в синапсе ацетилхолина, его конкуренции с недеполяризующим релаксантом и облегчению нейромышечной проводимости. Кроме того, неостигмин и его аналоги способствуют облегчению высвобождения ацетилхолина нервными окончаниями.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Механизм действия ингибиторов ацетилхолинэстеразы сводится к следующему. Препарат связывается с активным центром фермента, блокирует его, не давая возможность реагировать с ацетилхолином. Причем сам антихолинэстеразный препарат при этом подвергается гидролизу, аналогичному происходящему с ацетилхолином. Только если при взаимодействии с ферментом самого ацетилхолина гидролиз завершается за период около 150 мкс, то реакция с эдрофониумом продолжается от 2 до 10 мин, а неостигмин и аналоги (за счет двухэтапности процесса) находятся в ковалентной связи с ферментом от 30 мин до 6 ч.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Учитывая развивающийся при введении антихолинэстеразных препаратов выраженный м-холиномиметический эффект (брадикардия, саливация, бронхорея, ларингоспазм), необходимо предварять их введение инъекцией атропина (порядка 0,01 мг/кг).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Неостигмин и его аналоги (прозерин) вводится в дозе 40-80 мкг/кг (но не более 5 мг) под контролем частоты сердечных сокращений. При необходимости повторяют инъекцию атропина. При недостаточном эффекте допускается повторное введение анихолинэстеразных препаратов (суммарная доза неостигмина, тем не менее, не должна превышать 5 мг, т.е. 10мл. 0,05% р-ра). Эффект развивается через 5-10 мин после инъекции.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Эдрофоний вводится в дозе 0,5-1 мг/кг. При этом его эффект развивается быстрее – спустя 1-2 мин, но и продолжается значительно меньше, чем у неостигмина.</w:t>
      </w:r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1"/>
        <w:spacing w:line="360" w:lineRule="auto"/>
        <w:jc w:val="center"/>
        <w:rPr>
          <w:b/>
        </w:rPr>
      </w:pPr>
      <w:bookmarkStart w:id="19" w:name="_Toc528823378"/>
      <w:r w:rsidRPr="006F5EC5">
        <w:rPr>
          <w:b/>
        </w:rPr>
        <w:t>9. Осложнения, связанные с применением мышечных релаксантов,</w:t>
      </w:r>
      <w:bookmarkEnd w:id="19"/>
      <w:r w:rsidR="006F5EC5" w:rsidRPr="006F5EC5">
        <w:rPr>
          <w:b/>
        </w:rPr>
        <w:t xml:space="preserve"> </w:t>
      </w:r>
      <w:bookmarkStart w:id="20" w:name="_Toc528823379"/>
      <w:r w:rsidRPr="006F5EC5">
        <w:rPr>
          <w:b/>
        </w:rPr>
        <w:t>их профилактика и лечение</w:t>
      </w:r>
      <w:bookmarkEnd w:id="20"/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Как и при использовании любых других препаратов при применении миорелаксантов возможны различные осложнения. Большинство из них связаны с основным и побочными действиями самих релаксантов, поэтому частота их невелика при грамотном использовании.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Естественно, возможны аллергические реакции вплоть до анафилактических. Диагностика и лечение их проводится по общепринятым правилам, поэтому позвольте на них не останавливаться.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Наиболее часто встречаются мышечные боли после применения сукцинилхолина (ранее уже говорилось, что их отмечают до 90% больных). Профилактика заключается в проведении прекураризации, т.е. введении за несколько минут до инъекции сукцинилхолина приблизительно ¼ расчетной дозы недеполяризующего миорелаксанта, хотя эта мера не всегда эффективна. Альтернативой прекураризации является внутривенное введение также за несколько минут до сукцинилхолина 60-120 мг лидокаина.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Достаточно часто наблюдаются эффекты, связанные с высвобождением гистамина и ганглионарной блокадой в виде нарушений ритма сердца и артериальной гипотонией. К резкой брадикардии и даже остановке сердца может привести гиперкалиемия в ответ на введение деполяризующих миорелаксантов при тяжелой травме, ожогах и в других ситуациях, о которых говорилось выше.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Длительное остаточное действие миорелаксантов при гиповолемии, нарушениях кровообращения, электролитных расстройствах и ацидозе может приводить к продленному апноэ. Если использовалась декураризация, то при прекращении действия антихолинэстеразных средств возможно возобновление достаточно выраженного нейромышечного блока, называемое </w:t>
      </w:r>
      <w:r w:rsidRPr="006F5EC5">
        <w:rPr>
          <w:bCs/>
        </w:rPr>
        <w:t>рекураризацией</w:t>
      </w:r>
      <w:r w:rsidRPr="006F5EC5">
        <w:t xml:space="preserve">. Профилактике данного осложнения способствует внимательный контроль за больным, применение декураризации только после появления отчетливых признаков восстановления мышечного тонуса (желательно использовать нейромышечный мониторинг). Если же рекураризация все же развилась, </w:t>
      </w:r>
      <w:r w:rsidR="006F5EC5" w:rsidRPr="006F5EC5">
        <w:t>необходимо,</w:t>
      </w:r>
      <w:r w:rsidRPr="006F5EC5">
        <w:t xml:space="preserve"> либо выполнить повторную декураризацию, либо произвести реинтубацию трахеи и перевести больного на вспомогательную или искусственную вентиляцию легких.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Как уже указывалось ранее, при использовании миорелаксантов, особенно у больных с "полным" желудком, возможны регургитация и аспирация желудочного содержимого в трахеобронхиальное дерево. С целью профилактики рекомендуется опорожнить желудок с помощью зонда, выполнить прием Селлика, обеспечить возвышенное положение головы и туловища. Кроме того, рекомендуют в премедикации использовать препараты, уменьшающие желудочную секрецию (например, блокаторы </w:t>
      </w:r>
      <w:r w:rsidRPr="006F5EC5">
        <w:rPr>
          <w:lang w:val="en-US"/>
        </w:rPr>
        <w:t>H</w:t>
      </w:r>
      <w:r w:rsidRPr="006F5EC5">
        <w:rPr>
          <w:vertAlign w:val="subscript"/>
        </w:rPr>
        <w:t>2</w:t>
      </w:r>
      <w:r w:rsidRPr="006F5EC5">
        <w:t>-гистаминовых рецепторов).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Однако более подробно хотелось бы остановиться на синдроме злокачественной гипертермии, редком, но чрезвычайно опасном осложнении с высокой летальностью.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Злокачественная гипертермия – самое опасное осложнение, встречаемое при использовании сукцинилхолина. Оно проявляется в виде гиперметаболического ответа на пусковое воздействие некоторых лекарственных средств или стресса.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Фатальные пирогенные реакции во время анестезии не находили объяснения, пока в </w:t>
      </w:r>
      <w:smartTag w:uri="urn:schemas-microsoft-com:office:smarttags" w:element="metricconverter">
        <w:smartTagPr>
          <w:attr w:name="ProductID" w:val="1963 г"/>
        </w:smartTagPr>
        <w:r w:rsidRPr="006F5EC5">
          <w:t>1963 г</w:t>
        </w:r>
      </w:smartTag>
      <w:r w:rsidRPr="006F5EC5">
        <w:t>. в Австралии М. Денборо (</w:t>
      </w:r>
      <w:r w:rsidRPr="006F5EC5">
        <w:rPr>
          <w:lang w:val="en-US"/>
        </w:rPr>
        <w:t>M</w:t>
      </w:r>
      <w:r w:rsidRPr="006F5EC5">
        <w:t xml:space="preserve">. </w:t>
      </w:r>
      <w:r w:rsidRPr="006F5EC5">
        <w:rPr>
          <w:lang w:val="en-US"/>
        </w:rPr>
        <w:t>Denborough</w:t>
      </w:r>
      <w:r w:rsidRPr="006F5EC5">
        <w:t xml:space="preserve">) не описал синдром злокачественной гипертермии. Это осложнение встречается достаточно редко (по разным данным, порядка 1:100000 анестезий). Однако в некоторых местностях (например, Канада) бывает значительно чаще (до 1:1500) в связи с семейной природой состояния. Наиболее часто встречается у лиц от 3 до 30 лет. У мужчин распространено более часто, учитывая их большую мышечную массу. Летальность превышает 70%, однако может быть значительно снижена при своевременной диагностике. Специфическое лечение дантроленом с </w:t>
      </w:r>
      <w:smartTag w:uri="urn:schemas-microsoft-com:office:smarttags" w:element="metricconverter">
        <w:smartTagPr>
          <w:attr w:name="ProductID" w:val="1979 г"/>
        </w:smartTagPr>
        <w:r w:rsidRPr="006F5EC5">
          <w:t>1979 г</w:t>
        </w:r>
      </w:smartTag>
      <w:r w:rsidRPr="006F5EC5">
        <w:t>. позволило повысить выживаемость до 90%.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Синдром может развиться как во время вводной анестезии, так и спустя несколько часов после ее окончания. Самые частые триггеры – сукцинилхолин и галотан, хотя ими могут быть и другие препараты (калипсол, лидокаин и проч.). Злокачественная гипертермия может усиливаться адреналином, сердечными гликозидами, солями кальция, дериватами теофиллина. Она может возникать и без применения каких-либо лекарств, в ответ на эмоциональную реакцию (предполагается участие эндогенного норадреналина).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Злокачественная гипертермия – функциональные нарушения обмена кальция при патологических отклонения в физиологии мышц, хотя повреждаются при этом и другие структуры, связанные с кальцием (миокард, нервы, тромбоциты, лимфоциты и др.).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Клинические признаки злокачественной гипертермии во время общей анестезии (слайд):</w:t>
      </w:r>
    </w:p>
    <w:p w:rsidR="00BC4020" w:rsidRPr="006F5EC5" w:rsidRDefault="00BC4020" w:rsidP="006F5EC5">
      <w:pPr>
        <w:pStyle w:val="a3"/>
        <w:spacing w:line="360" w:lineRule="auto"/>
        <w:rPr>
          <w:bCs/>
        </w:rPr>
      </w:pPr>
      <w:r w:rsidRPr="006F5EC5">
        <w:rPr>
          <w:bCs/>
        </w:rPr>
        <w:t>Клинические: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тахикардия;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тахипноэ;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нестабильность АД;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нарушения ритма сердца;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цианоз;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влажность кожи;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 xml:space="preserve">лихорадка (повышение </w:t>
      </w:r>
      <w:r w:rsidRPr="006F5EC5">
        <w:rPr>
          <w:lang w:val="en-US"/>
        </w:rPr>
        <w:t>t</w:t>
      </w:r>
      <w:r w:rsidRPr="006F5EC5">
        <w:t xml:space="preserve">º на 2º в час или </w:t>
      </w:r>
      <w:r w:rsidRPr="006F5EC5">
        <w:rPr>
          <w:lang w:val="en-US"/>
        </w:rPr>
        <w:t>t</w:t>
      </w:r>
      <w:r w:rsidRPr="006F5EC5">
        <w:t>º&gt;42,2ºС);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фасцикуляции;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генерализованная ригидность;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спазм жевательной мускулатуры;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изменение окраски мочи;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темная кровь в ране.</w:t>
      </w:r>
    </w:p>
    <w:p w:rsidR="00BC4020" w:rsidRPr="006F5EC5" w:rsidRDefault="00BC4020" w:rsidP="006F5EC5">
      <w:pPr>
        <w:pStyle w:val="a3"/>
        <w:spacing w:line="360" w:lineRule="auto"/>
        <w:rPr>
          <w:bCs/>
        </w:rPr>
      </w:pPr>
      <w:r w:rsidRPr="006F5EC5">
        <w:rPr>
          <w:bCs/>
        </w:rPr>
        <w:t>Патофизиологические: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центральная венозная десатурация;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центральная венозная гиперкапния;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артериальная гиперкапния;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метаболический ацидоз;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респираторный ацидоз;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гиперкалиемия;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миоглобинемия;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миоглобинурия;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повышение КФК.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Дифференциальный диагноз следует проводить (помимо неадекватности анестезии) с гипертиреозом и феохромоцитомой.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 xml:space="preserve">Для выявления "группы риска" используют сбор анемнеза, а также предложены исследование уровня КФК, выявление аномалий строения миофибрилл (особенно вариации их диаметра), биопсия мышц с пробой </w:t>
      </w:r>
      <w:r w:rsidRPr="006F5EC5">
        <w:rPr>
          <w:lang w:val="en-US"/>
        </w:rPr>
        <w:t>in</w:t>
      </w:r>
      <w:r w:rsidRPr="006F5EC5">
        <w:t xml:space="preserve"> </w:t>
      </w:r>
      <w:r w:rsidRPr="006F5EC5">
        <w:rPr>
          <w:lang w:val="en-US"/>
        </w:rPr>
        <w:t>vitro</w:t>
      </w:r>
      <w:r w:rsidRPr="006F5EC5">
        <w:t xml:space="preserve"> на галотан и кофеин (самый точный метод).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rPr>
          <w:bCs/>
        </w:rPr>
        <w:t xml:space="preserve">Лечение злокачественной гипертермии </w:t>
      </w:r>
      <w:r w:rsidRPr="006F5EC5">
        <w:t>(слайд)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1. Прекратить операцию и анестезию.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2. Прекратить введение газообразных анестетиков.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3. Гипервентиляция 100% кислородом.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4. Дантролен 2,5 мг/кг в/в с последующей инфузией до общей дозы 10 мг/кг.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5. Мониторинг ЭКГ, температуры тела, мочи, АД, ЦВД, конечно-выдыхаемого СО</w:t>
      </w:r>
      <w:r w:rsidRPr="006F5EC5">
        <w:rPr>
          <w:vertAlign w:val="subscript"/>
        </w:rPr>
        <w:t>2,</w:t>
      </w:r>
      <w:r w:rsidRPr="006F5EC5">
        <w:t xml:space="preserve"> </w:t>
      </w:r>
      <w:r w:rsidRPr="006F5EC5">
        <w:rPr>
          <w:lang w:val="en-US"/>
        </w:rPr>
        <w:t>SatO</w:t>
      </w:r>
      <w:r w:rsidRPr="006F5EC5">
        <w:rPr>
          <w:vertAlign w:val="subscript"/>
        </w:rPr>
        <w:t>2</w:t>
      </w:r>
      <w:r w:rsidRPr="006F5EC5">
        <w:t xml:space="preserve">. 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6. Охладить больного (в/в ледяной раствор кристаллоидов 15 мл/кг, 3 раза; лед на поверхность тела, промывание желудка и полостей ледяными растворами; экстракорпоральная циркуляция крови) – остановиться при температуре менее 38,3ºС.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7. Купировать нарушения ритма (прокаинамид, в/в 15 мг/кг за 10 мин).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8. Коррекция ацидоза (гидрокарбонат натрия 1-2 ммоль/л первоначально, далее под контролем анализов крови).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9. Поддержание диуреза выше 2 мл/кг/ч (маннитол 0,125 г/кг, лазикс 1мг/кг, повторить до 4 раз, если будет необходимость).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10. Купирование гиперкалиемии (глюкоза с инсулином).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11. В послеоперационном периоде: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дантролен перорально или в/в 1-3 дня,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мониторинг продолжить 48 ч,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провести семейное исследование.</w:t>
      </w:r>
    </w:p>
    <w:p w:rsidR="00BC4020" w:rsidRPr="006F5EC5" w:rsidRDefault="006F5EC5" w:rsidP="006F5EC5">
      <w:pPr>
        <w:pStyle w:val="a3"/>
        <w:spacing w:line="360" w:lineRule="auto"/>
        <w:jc w:val="center"/>
        <w:rPr>
          <w:b/>
        </w:rPr>
      </w:pPr>
      <w:r>
        <w:br w:type="page"/>
      </w:r>
      <w:bookmarkStart w:id="21" w:name="_Toc528823380"/>
      <w:r w:rsidR="00BC4020" w:rsidRPr="006F5EC5">
        <w:rPr>
          <w:b/>
        </w:rPr>
        <w:t>10. Перспективы использования миорелаксантов</w:t>
      </w:r>
      <w:bookmarkEnd w:id="21"/>
      <w:r w:rsidRPr="006F5EC5">
        <w:rPr>
          <w:b/>
        </w:rPr>
        <w:t xml:space="preserve"> </w:t>
      </w:r>
      <w:bookmarkStart w:id="22" w:name="_Toc528823381"/>
      <w:r w:rsidR="00BC4020" w:rsidRPr="006F5EC5">
        <w:rPr>
          <w:b/>
        </w:rPr>
        <w:t>в военно-полевых условиях</w:t>
      </w:r>
      <w:bookmarkEnd w:id="22"/>
    </w:p>
    <w:p w:rsidR="00BC4020" w:rsidRPr="006F5EC5" w:rsidRDefault="00BC4020" w:rsidP="006F5EC5">
      <w:pPr>
        <w:pStyle w:val="a3"/>
        <w:spacing w:line="360" w:lineRule="auto"/>
      </w:pPr>
    </w:p>
    <w:p w:rsidR="00BC4020" w:rsidRPr="006F5EC5" w:rsidRDefault="00BC4020" w:rsidP="006F5EC5">
      <w:pPr>
        <w:pStyle w:val="a3"/>
        <w:spacing w:line="360" w:lineRule="auto"/>
      </w:pPr>
      <w:r w:rsidRPr="006F5EC5">
        <w:t>Наиболее перспективными для использования в военно-полевых условиях являются препараты, не вызывающие серьезных побочных эффектов и имеющие управляемое, желательно, средней продолжительности действие. К таким миорелаксантам относятся векуроний (норкурон) и рокурониум (эсмерон). Особенно предпочтителен последний в связи с его уникально быстрым началом действия, мало уступающим сукцинилхолину. Естественно, невозможно будет отказаться от применения собственно сукцинилхолина в ситуациях требующих максимально быстрого обеспечения надежной проходимости верхних дыхательных путей.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К сожалению, следует отметить, что ни один из этих препаратов не производится в России, что делает их применение в условиях широкомасштабных боевых действий затруднительным.</w:t>
      </w:r>
    </w:p>
    <w:p w:rsidR="00BC4020" w:rsidRPr="006F5EC5" w:rsidRDefault="00BC4020" w:rsidP="006F5EC5">
      <w:pPr>
        <w:pStyle w:val="a3"/>
        <w:spacing w:line="360" w:lineRule="auto"/>
      </w:pPr>
      <w:r w:rsidRPr="006F5EC5">
        <w:t>Табельными препаратами в настоящее время являются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дитилин,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ардуан,</w:t>
      </w:r>
    </w:p>
    <w:p w:rsidR="00BC4020" w:rsidRPr="006F5EC5" w:rsidRDefault="00BC4020" w:rsidP="006F5EC5">
      <w:pPr>
        <w:pStyle w:val="a3"/>
        <w:numPr>
          <w:ilvl w:val="0"/>
          <w:numId w:val="2"/>
        </w:numPr>
        <w:spacing w:line="360" w:lineRule="auto"/>
        <w:ind w:left="0" w:firstLine="709"/>
      </w:pPr>
      <w:r w:rsidRPr="006F5EC5">
        <w:t>диплацин.</w:t>
      </w:r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6F5EC5">
        <w:rPr>
          <w:sz w:val="28"/>
          <w:szCs w:val="28"/>
        </w:rPr>
        <w:t>Заключение: на сегодняшний день анестезиология и реаниматология немыслима без использования миорелаксантов. Обязанность каждого специалиста нашего профиля знать современные миорелаксанты и уметь применять их в повседневной практической работе.</w:t>
      </w:r>
    </w:p>
    <w:p w:rsidR="00BC4020" w:rsidRPr="006F5EC5" w:rsidRDefault="006F5EC5" w:rsidP="006F5EC5">
      <w:pPr>
        <w:pStyle w:val="1"/>
        <w:spacing w:line="360" w:lineRule="auto"/>
        <w:jc w:val="center"/>
        <w:rPr>
          <w:b/>
        </w:rPr>
      </w:pPr>
      <w:bookmarkStart w:id="23" w:name="_Toc528823382"/>
      <w:r>
        <w:br w:type="page"/>
      </w:r>
      <w:r w:rsidR="00BC4020" w:rsidRPr="006F5EC5">
        <w:rPr>
          <w:b/>
        </w:rPr>
        <w:t>Литература:</w:t>
      </w:r>
      <w:bookmarkEnd w:id="23"/>
    </w:p>
    <w:p w:rsidR="00BC4020" w:rsidRPr="006F5EC5" w:rsidRDefault="00BC4020" w:rsidP="006F5EC5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BC4020" w:rsidRPr="006F5EC5" w:rsidRDefault="00BC4020" w:rsidP="006F5EC5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6F5EC5">
        <w:rPr>
          <w:sz w:val="28"/>
        </w:rPr>
        <w:t>Катцунг Б.Г. Базисная и клиническая фармакология: Пер. с англ.- М.; СПб., 1998.- Т.1.- 611 с.</w:t>
      </w:r>
    </w:p>
    <w:p w:rsidR="00BC4020" w:rsidRPr="006F5EC5" w:rsidRDefault="00BC4020" w:rsidP="006F5EC5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6F5EC5">
        <w:rPr>
          <w:sz w:val="28"/>
        </w:rPr>
        <w:t>Морган Д.Э., Михаил М.С. Клиническая анестезиология: Пер. с англ.- М.; СПб., 1998.- 430 с.</w:t>
      </w:r>
    </w:p>
    <w:p w:rsidR="00BC4020" w:rsidRPr="006F5EC5" w:rsidRDefault="00BC4020" w:rsidP="006F5EC5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6F5EC5">
        <w:rPr>
          <w:sz w:val="28"/>
        </w:rPr>
        <w:t>Левшанков А.И., Сомов С.В. Сравнительная оценка современных миорелаксантов: Отчет о науч.-иссл. работе № 4.99.276п.12.- СПб.: ВМедА, 2000 (в печати).</w:t>
      </w:r>
    </w:p>
    <w:p w:rsidR="00BC4020" w:rsidRPr="006F5EC5" w:rsidRDefault="00BC4020" w:rsidP="006F5EC5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</w:rPr>
      </w:pPr>
      <w:r w:rsidRPr="006F5EC5">
        <w:rPr>
          <w:sz w:val="28"/>
        </w:rPr>
        <w:t>Фармакология миорелаксантов.- М.: Медицина, 1989.- 288 с.</w:t>
      </w:r>
    </w:p>
    <w:p w:rsidR="00BC4020" w:rsidRPr="006F5EC5" w:rsidRDefault="00BC4020" w:rsidP="006F5EC5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lang w:val="en-US"/>
        </w:rPr>
      </w:pPr>
      <w:r w:rsidRPr="006F5EC5">
        <w:rPr>
          <w:sz w:val="28"/>
          <w:lang w:val="en-US"/>
        </w:rPr>
        <w:t>Bevan D.R., Bevan J.C., Donati F. Muscle relaxants in clinical anesthesia.- Chicago; London, 1988.- 443 p.</w:t>
      </w:r>
      <w:bookmarkStart w:id="24" w:name="_GoBack"/>
      <w:bookmarkEnd w:id="24"/>
    </w:p>
    <w:sectPr w:rsidR="00BC4020" w:rsidRPr="006F5EC5" w:rsidSect="006F5EC5">
      <w:headerReference w:type="even" r:id="rId7"/>
      <w:headerReference w:type="default" r:id="rId8"/>
      <w:pgSz w:w="11907" w:h="16840" w:code="9"/>
      <w:pgMar w:top="1134" w:right="851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59" w:rsidRDefault="00DF1659">
      <w:r>
        <w:separator/>
      </w:r>
    </w:p>
  </w:endnote>
  <w:endnote w:type="continuationSeparator" w:id="0">
    <w:p w:rsidR="00DF1659" w:rsidRDefault="00DF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59" w:rsidRDefault="00DF1659">
      <w:r>
        <w:separator/>
      </w:r>
    </w:p>
  </w:footnote>
  <w:footnote w:type="continuationSeparator" w:id="0">
    <w:p w:rsidR="00DF1659" w:rsidRDefault="00DF1659">
      <w:r>
        <w:continuationSeparator/>
      </w:r>
    </w:p>
  </w:footnote>
  <w:footnote w:id="1">
    <w:p w:rsidR="00DF1659" w:rsidRDefault="00BC4020">
      <w:pPr>
        <w:pStyle w:val="ad"/>
      </w:pPr>
      <w:r>
        <w:rPr>
          <w:rStyle w:val="af"/>
          <w:sz w:val="24"/>
        </w:rPr>
        <w:footnoteRef/>
      </w:r>
      <w:r>
        <w:rPr>
          <w:sz w:val="24"/>
        </w:rPr>
        <w:t xml:space="preserve"> </w:t>
      </w:r>
      <w:r>
        <w:rPr>
          <w:sz w:val="24"/>
          <w:szCs w:val="28"/>
        </w:rPr>
        <w:t>Гриффит проводил первую анестезию с релаксацией 20-летнему водопроводчику, оперировавшемуся по поводу острого аппендицита.</w:t>
      </w:r>
    </w:p>
  </w:footnote>
  <w:footnote w:id="2">
    <w:p w:rsidR="00DF1659" w:rsidRDefault="00BC4020">
      <w:pPr>
        <w:pStyle w:val="a3"/>
      </w:pPr>
      <w:r>
        <w:rPr>
          <w:rStyle w:val="af"/>
          <w:sz w:val="24"/>
        </w:rPr>
        <w:footnoteRef/>
      </w:r>
      <w:r>
        <w:rPr>
          <w:sz w:val="24"/>
        </w:rPr>
        <w:t xml:space="preserve"> В показания для применения дитилина надо добавить низкую квалификацию анестезиолога (в плане интубации трахеи).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020" w:rsidRDefault="00BC4020">
    <w:pPr>
      <w:pStyle w:val="a7"/>
      <w:framePr w:wrap="around" w:vAnchor="text" w:hAnchor="margin" w:xAlign="right" w:y="1"/>
      <w:rPr>
        <w:rStyle w:val="a9"/>
      </w:rPr>
    </w:pPr>
  </w:p>
  <w:p w:rsidR="00BC4020" w:rsidRDefault="00BC402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020" w:rsidRDefault="003F43C0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BC4020" w:rsidRDefault="00BC402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184E4F"/>
    <w:multiLevelType w:val="hybridMultilevel"/>
    <w:tmpl w:val="EEE21DFA"/>
    <w:lvl w:ilvl="0" w:tplc="4CC8F5A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45E69CC"/>
    <w:multiLevelType w:val="hybridMultilevel"/>
    <w:tmpl w:val="22FEF0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4E2A65B7"/>
    <w:multiLevelType w:val="hybridMultilevel"/>
    <w:tmpl w:val="F97A66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7E3B6833"/>
    <w:multiLevelType w:val="singleLevel"/>
    <w:tmpl w:val="4EAA67D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F3E4498"/>
    <w:multiLevelType w:val="hybridMultilevel"/>
    <w:tmpl w:val="79C4F0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B8A"/>
    <w:rsid w:val="00147462"/>
    <w:rsid w:val="003F43C0"/>
    <w:rsid w:val="00640612"/>
    <w:rsid w:val="006F5EC5"/>
    <w:rsid w:val="00972EF4"/>
    <w:rsid w:val="00BC4020"/>
    <w:rsid w:val="00C14B8A"/>
    <w:rsid w:val="00D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AC3F37-38B6-493E-9EB7-EE87990C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20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ind w:firstLine="709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widowControl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21">
    <w:name w:val="Body Text Indent 2"/>
    <w:basedOn w:val="a"/>
    <w:link w:val="22"/>
    <w:uiPriority w:val="99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a5">
    <w:name w:val="Document Map"/>
    <w:basedOn w:val="a"/>
    <w:link w:val="a6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</w:style>
  <w:style w:type="character" w:styleId="a9">
    <w:name w:val="page number"/>
    <w:uiPriority w:val="99"/>
    <w:rPr>
      <w:rFonts w:cs="Times New Roman"/>
    </w:rPr>
  </w:style>
  <w:style w:type="character" w:styleId="aa">
    <w:name w:val="annotation reference"/>
    <w:uiPriority w:val="99"/>
    <w:semiHidden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</w:style>
  <w:style w:type="character" w:customStyle="1" w:styleId="ac">
    <w:name w:val="Текст примечания Знак"/>
    <w:link w:val="ab"/>
    <w:uiPriority w:val="99"/>
    <w:semiHidden/>
  </w:style>
  <w:style w:type="paragraph" w:styleId="ad">
    <w:name w:val="footnote text"/>
    <w:basedOn w:val="a"/>
    <w:link w:val="ae"/>
    <w:uiPriority w:val="99"/>
    <w:semiHidden/>
  </w:style>
  <w:style w:type="character" w:customStyle="1" w:styleId="ae">
    <w:name w:val="Текст сноски Знак"/>
    <w:link w:val="ad"/>
    <w:uiPriority w:val="99"/>
    <w:semiHidden/>
  </w:style>
  <w:style w:type="character" w:styleId="af">
    <w:name w:val="footnote reference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</w:style>
  <w:style w:type="paragraph" w:styleId="23">
    <w:name w:val="toc 2"/>
    <w:basedOn w:val="a"/>
    <w:next w:val="a"/>
    <w:autoRedefine/>
    <w:uiPriority w:val="39"/>
    <w:semiHidden/>
    <w:pPr>
      <w:ind w:left="200"/>
    </w:pPr>
  </w:style>
  <w:style w:type="paragraph" w:styleId="31">
    <w:name w:val="toc 3"/>
    <w:basedOn w:val="a"/>
    <w:next w:val="a"/>
    <w:autoRedefine/>
    <w:uiPriority w:val="39"/>
    <w:semiHidden/>
    <w:pPr>
      <w:ind w:left="400"/>
    </w:pPr>
  </w:style>
  <w:style w:type="paragraph" w:styleId="41">
    <w:name w:val="toc 4"/>
    <w:basedOn w:val="a"/>
    <w:next w:val="a"/>
    <w:autoRedefine/>
    <w:uiPriority w:val="39"/>
    <w:semiHidden/>
    <w:pPr>
      <w:ind w:left="600"/>
    </w:pPr>
  </w:style>
  <w:style w:type="paragraph" w:styleId="5">
    <w:name w:val="toc 5"/>
    <w:basedOn w:val="a"/>
    <w:next w:val="a"/>
    <w:autoRedefine/>
    <w:uiPriority w:val="39"/>
    <w:semiHidden/>
    <w:pPr>
      <w:ind w:left="800"/>
    </w:pPr>
  </w:style>
  <w:style w:type="paragraph" w:styleId="6">
    <w:name w:val="toc 6"/>
    <w:basedOn w:val="a"/>
    <w:next w:val="a"/>
    <w:autoRedefine/>
    <w:uiPriority w:val="39"/>
    <w:semiHidden/>
    <w:pPr>
      <w:ind w:left="1000"/>
    </w:pPr>
  </w:style>
  <w:style w:type="paragraph" w:styleId="7">
    <w:name w:val="toc 7"/>
    <w:basedOn w:val="a"/>
    <w:next w:val="a"/>
    <w:autoRedefine/>
    <w:uiPriority w:val="39"/>
    <w:semiHidden/>
    <w:pPr>
      <w:ind w:left="1200"/>
    </w:pPr>
  </w:style>
  <w:style w:type="paragraph" w:styleId="8">
    <w:name w:val="toc 8"/>
    <w:basedOn w:val="a"/>
    <w:next w:val="a"/>
    <w:autoRedefine/>
    <w:uiPriority w:val="39"/>
    <w:semiHidden/>
    <w:pPr>
      <w:ind w:left="1400"/>
    </w:pPr>
  </w:style>
  <w:style w:type="paragraph" w:styleId="9">
    <w:name w:val="toc 9"/>
    <w:basedOn w:val="a"/>
    <w:next w:val="a"/>
    <w:autoRedefine/>
    <w:uiPriority w:val="39"/>
    <w:semiHidden/>
    <w:pPr>
      <w:ind w:left="1600"/>
    </w:pPr>
  </w:style>
  <w:style w:type="character" w:styleId="af0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7160</Words>
  <Characters>40815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>ВМедА</Company>
  <LinksUpToDate>false</LinksUpToDate>
  <CharactersWithSpaces>47880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Сомов</dc:creator>
  <cp:keywords/>
  <dc:description/>
  <cp:lastModifiedBy>admin</cp:lastModifiedBy>
  <cp:revision>2</cp:revision>
  <dcterms:created xsi:type="dcterms:W3CDTF">2014-02-25T03:23:00Z</dcterms:created>
  <dcterms:modified xsi:type="dcterms:W3CDTF">2014-02-25T03:23:00Z</dcterms:modified>
</cp:coreProperties>
</file>