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AD" w:rsidRDefault="00FB35AD">
      <w:pPr>
        <w:pStyle w:val="a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>
        <w:t>МОСКОВСКИЙ ГУМАНИТАРНО</w:t>
      </w:r>
      <w:r>
        <w:rPr>
          <w:lang w:val="en-US"/>
        </w:rPr>
        <w:t>-</w:t>
      </w:r>
      <w:r>
        <w:t>ЭКОНОМИЧЕСКИЙ ИНСТИТУТ</w:t>
      </w: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</w:rPr>
      </w:pPr>
    </w:p>
    <w:p w:rsidR="00FB35AD" w:rsidRDefault="00FB35AD">
      <w:pPr>
        <w:pStyle w:val="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84"/>
        </w:rPr>
      </w:pPr>
      <w:r>
        <w:rPr>
          <w:sz w:val="84"/>
        </w:rPr>
        <w:t>КУРСОВАЯ РАБОТА</w:t>
      </w: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44"/>
          <w:lang w:val="en-US"/>
        </w:rPr>
      </w:pPr>
      <w:r>
        <w:rPr>
          <w:b/>
          <w:sz w:val="44"/>
        </w:rPr>
        <w:t>по экономической теории</w:t>
      </w: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44"/>
          <w:lang w:val="en-US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44"/>
        </w:rPr>
      </w:pPr>
      <w:r>
        <w:rPr>
          <w:b/>
          <w:sz w:val="44"/>
        </w:rPr>
        <w:t>тема</w:t>
      </w:r>
      <w:r>
        <w:rPr>
          <w:b/>
          <w:sz w:val="44"/>
          <w:lang w:val="en-US"/>
        </w:rPr>
        <w:t>: ”</w:t>
      </w:r>
      <w:r>
        <w:rPr>
          <w:b/>
          <w:i/>
          <w:sz w:val="44"/>
          <w:lang w:val="en-US"/>
        </w:rPr>
        <w:t xml:space="preserve">Мировая валютная система: </w:t>
      </w:r>
      <w:r>
        <w:rPr>
          <w:b/>
          <w:i/>
          <w:sz w:val="44"/>
        </w:rPr>
        <w:t>сущность и тенденции.</w:t>
      </w:r>
      <w:r>
        <w:rPr>
          <w:b/>
          <w:i/>
          <w:sz w:val="44"/>
          <w:lang w:val="en-US"/>
        </w:rPr>
        <w:t>”</w:t>
      </w: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  <w:lang w:val="en-US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  <w:lang w:val="en-US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  <w:lang w:val="en-US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  <w:lang w:val="en-US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  <w:lang w:val="en-US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  <w:sz w:val="44"/>
        </w:rPr>
      </w:pPr>
      <w:r>
        <w:rPr>
          <w:b/>
          <w:sz w:val="40"/>
        </w:rPr>
        <w:t>Руководитель</w:t>
      </w:r>
      <w:r>
        <w:rPr>
          <w:b/>
          <w:sz w:val="44"/>
          <w:lang w:val="en-US"/>
        </w:rPr>
        <w:t xml:space="preserve">: </w:t>
      </w:r>
      <w:r>
        <w:rPr>
          <w:b/>
          <w:i/>
          <w:sz w:val="44"/>
        </w:rPr>
        <w:t>Мещерякова Е.И.</w:t>
      </w: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  <w:i/>
          <w:sz w:val="44"/>
        </w:rPr>
      </w:pPr>
      <w:r>
        <w:rPr>
          <w:b/>
          <w:sz w:val="40"/>
        </w:rPr>
        <w:t>Выполнил</w:t>
      </w:r>
      <w:r>
        <w:rPr>
          <w:b/>
          <w:sz w:val="44"/>
          <w:lang w:val="en-US"/>
        </w:rPr>
        <w:t>:</w:t>
      </w:r>
      <w:r>
        <w:rPr>
          <w:b/>
          <w:sz w:val="44"/>
        </w:rPr>
        <w:t xml:space="preserve"> </w:t>
      </w:r>
      <w:r>
        <w:rPr>
          <w:b/>
          <w:i/>
          <w:sz w:val="44"/>
        </w:rPr>
        <w:t>студент1-го курса гр. Э-822</w:t>
      </w:r>
    </w:p>
    <w:p w:rsidR="00FB35AD" w:rsidRDefault="00FB35AD">
      <w:pPr>
        <w:pStyle w:val="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sz w:val="44"/>
        </w:rPr>
      </w:pPr>
      <w:r>
        <w:rPr>
          <w:sz w:val="44"/>
        </w:rPr>
        <w:t>Минаков Андрей Михайлович</w:t>
      </w: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u w:val="single"/>
        </w:rPr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</w:pP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</w:pPr>
    </w:p>
    <w:p w:rsidR="00FB35AD" w:rsidRDefault="00FB35AD">
      <w:pPr>
        <w:pStyle w:val="a4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>
        <w:t>Работа защищена………………………Оценка…………………</w:t>
      </w:r>
    </w:p>
    <w:p w:rsidR="00FB35AD" w:rsidRDefault="00FB35AD">
      <w:pPr>
        <w:pStyle w:val="4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>
        <w:t>Воронеж-2000</w:t>
      </w:r>
    </w:p>
    <w:p w:rsidR="00FB35AD" w:rsidRDefault="00FB35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</w:p>
    <w:p w:rsidR="00FB35AD" w:rsidRDefault="00FB35A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  <w:t xml:space="preserve"> «Оглавление» </w:t>
      </w:r>
    </w:p>
    <w:p w:rsidR="00FB35AD" w:rsidRDefault="00FB35AD">
      <w:pPr>
        <w:jc w:val="center"/>
        <w:rPr>
          <w:b/>
          <w:sz w:val="28"/>
          <w:u w:val="single"/>
        </w:rPr>
      </w:pPr>
    </w:p>
    <w:p w:rsidR="00FB35AD" w:rsidRDefault="00FB35AD" w:rsidP="00FB35AD">
      <w:pPr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>Сущность, задачи и функции МВС……………………………………………………..</w:t>
      </w:r>
    </w:p>
    <w:p w:rsidR="00FB35AD" w:rsidRDefault="00FB35AD" w:rsidP="00FB35AD">
      <w:pPr>
        <w:pStyle w:val="7"/>
        <w:numPr>
          <w:ilvl w:val="0"/>
          <w:numId w:val="14"/>
        </w:numPr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Основные элементы МВС………………………………………………………………..</w:t>
      </w:r>
    </w:p>
    <w:p w:rsidR="00FB35AD" w:rsidRDefault="00FB35AD" w:rsidP="00FB35AD">
      <w:pPr>
        <w:numPr>
          <w:ilvl w:val="0"/>
          <w:numId w:val="14"/>
        </w:numPr>
        <w:jc w:val="both"/>
        <w:rPr>
          <w:i/>
          <w:sz w:val="28"/>
          <w:lang w:val="en-US"/>
        </w:rPr>
      </w:pPr>
      <w:r>
        <w:rPr>
          <w:i/>
          <w:sz w:val="28"/>
        </w:rPr>
        <w:t>Валюта и валютные ценности………………………………………………………….</w:t>
      </w:r>
    </w:p>
    <w:p w:rsidR="00FB35AD" w:rsidRDefault="00FB35AD" w:rsidP="00FB35AD">
      <w:pPr>
        <w:numPr>
          <w:ilvl w:val="0"/>
          <w:numId w:val="14"/>
        </w:numPr>
        <w:jc w:val="both"/>
        <w:rPr>
          <w:i/>
          <w:sz w:val="28"/>
          <w:lang w:val="en-US"/>
        </w:rPr>
      </w:pPr>
      <w:r>
        <w:rPr>
          <w:i/>
          <w:sz w:val="28"/>
        </w:rPr>
        <w:t>Классификация валют…………………………………………………………………….</w:t>
      </w:r>
    </w:p>
    <w:p w:rsidR="00FB35AD" w:rsidRDefault="00FB35AD" w:rsidP="00FB35AD">
      <w:pPr>
        <w:numPr>
          <w:ilvl w:val="0"/>
          <w:numId w:val="14"/>
        </w:numPr>
        <w:jc w:val="both"/>
        <w:rPr>
          <w:sz w:val="28"/>
        </w:rPr>
      </w:pPr>
      <w:r>
        <w:rPr>
          <w:i/>
          <w:sz w:val="28"/>
        </w:rPr>
        <w:t>Функциональная роль валюты…………………………………………………………..</w:t>
      </w:r>
    </w:p>
    <w:p w:rsidR="00FB35AD" w:rsidRDefault="00FB35AD" w:rsidP="00FB35AD">
      <w:pPr>
        <w:numPr>
          <w:ilvl w:val="0"/>
          <w:numId w:val="14"/>
        </w:numPr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Положение валюты на рынке…………………………………………………………...</w:t>
      </w:r>
    </w:p>
    <w:p w:rsidR="00FB35AD" w:rsidRDefault="00FB35AD" w:rsidP="00FB35AD">
      <w:pPr>
        <w:numPr>
          <w:ilvl w:val="0"/>
          <w:numId w:val="14"/>
        </w:numPr>
        <w:jc w:val="both"/>
        <w:rPr>
          <w:i/>
          <w:sz w:val="28"/>
          <w:lang w:val="en-US"/>
        </w:rPr>
      </w:pPr>
      <w:r>
        <w:rPr>
          <w:i/>
          <w:sz w:val="28"/>
        </w:rPr>
        <w:t>Валютные курсы…………………………………………………………………………...</w:t>
      </w:r>
    </w:p>
    <w:p w:rsidR="00FB35AD" w:rsidRDefault="00FB35AD" w:rsidP="00FB35AD">
      <w:pPr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>Виды валютных курсов……………………………………………………………………</w:t>
      </w:r>
    </w:p>
    <w:p w:rsidR="00FB35AD" w:rsidRDefault="00FB35AD" w:rsidP="00FB35AD">
      <w:pPr>
        <w:numPr>
          <w:ilvl w:val="0"/>
          <w:numId w:val="15"/>
        </w:numPr>
        <w:ind w:firstLine="66"/>
        <w:jc w:val="both"/>
        <w:rPr>
          <w:i/>
          <w:sz w:val="28"/>
        </w:rPr>
      </w:pPr>
      <w:r>
        <w:rPr>
          <w:i/>
          <w:sz w:val="28"/>
        </w:rPr>
        <w:t>Прямые котировки…………………………………………………………………….</w:t>
      </w:r>
    </w:p>
    <w:p w:rsidR="00FB35AD" w:rsidRDefault="00FB35AD" w:rsidP="00FB35AD">
      <w:pPr>
        <w:numPr>
          <w:ilvl w:val="0"/>
          <w:numId w:val="15"/>
        </w:numPr>
        <w:ind w:firstLine="66"/>
        <w:jc w:val="both"/>
        <w:rPr>
          <w:i/>
          <w:sz w:val="28"/>
        </w:rPr>
      </w:pPr>
      <w:r>
        <w:rPr>
          <w:i/>
          <w:sz w:val="28"/>
        </w:rPr>
        <w:t>Косвенные котировки…………………………………………………………………</w:t>
      </w:r>
    </w:p>
    <w:p w:rsidR="00FB35AD" w:rsidRDefault="00FB35AD" w:rsidP="00FB35AD">
      <w:pPr>
        <w:numPr>
          <w:ilvl w:val="0"/>
          <w:numId w:val="15"/>
        </w:numPr>
        <w:ind w:firstLine="66"/>
        <w:jc w:val="both"/>
        <w:rPr>
          <w:i/>
          <w:sz w:val="28"/>
        </w:rPr>
      </w:pPr>
      <w:r>
        <w:rPr>
          <w:i/>
          <w:sz w:val="28"/>
        </w:rPr>
        <w:t>Кросс курсы……………………………………………………………………………..</w:t>
      </w:r>
    </w:p>
    <w:p w:rsidR="00FB35AD" w:rsidRDefault="00FB35AD" w:rsidP="00FB35AD">
      <w:pPr>
        <w:numPr>
          <w:ilvl w:val="0"/>
          <w:numId w:val="15"/>
        </w:numPr>
        <w:ind w:firstLine="66"/>
        <w:jc w:val="both"/>
        <w:rPr>
          <w:i/>
          <w:sz w:val="28"/>
        </w:rPr>
      </w:pPr>
      <w:r>
        <w:rPr>
          <w:i/>
          <w:sz w:val="28"/>
        </w:rPr>
        <w:t>Спот-курс………………………………………………………………………………..</w:t>
      </w:r>
    </w:p>
    <w:p w:rsidR="00FB35AD" w:rsidRDefault="00FB35AD" w:rsidP="00FB35AD">
      <w:pPr>
        <w:numPr>
          <w:ilvl w:val="0"/>
          <w:numId w:val="15"/>
        </w:numPr>
        <w:ind w:firstLine="66"/>
        <w:jc w:val="both"/>
        <w:rPr>
          <w:i/>
          <w:sz w:val="28"/>
        </w:rPr>
      </w:pPr>
      <w:r>
        <w:rPr>
          <w:i/>
          <w:sz w:val="28"/>
        </w:rPr>
        <w:t>Форвард курсы (курсы валют по срочным сделкам)……………………………</w:t>
      </w:r>
    </w:p>
    <w:p w:rsidR="00FB35AD" w:rsidRDefault="00FB35AD" w:rsidP="00FB35AD">
      <w:pPr>
        <w:numPr>
          <w:ilvl w:val="0"/>
          <w:numId w:val="14"/>
        </w:numPr>
        <w:jc w:val="both"/>
        <w:rPr>
          <w:b/>
          <w:i/>
          <w:sz w:val="28"/>
          <w:u w:val="single"/>
        </w:rPr>
      </w:pPr>
      <w:r>
        <w:rPr>
          <w:i/>
          <w:sz w:val="28"/>
        </w:rPr>
        <w:t>Золотой (золотомонетный) стандарт……………………………………………….</w:t>
      </w:r>
    </w:p>
    <w:p w:rsidR="00FB35AD" w:rsidRDefault="00FB35AD" w:rsidP="00FB35AD">
      <w:pPr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>Золотодевизный стандарт………………………………………………………………</w:t>
      </w:r>
    </w:p>
    <w:p w:rsidR="00FB35AD" w:rsidRDefault="00FB35AD" w:rsidP="00FB35AD">
      <w:pPr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  <w:lang w:val="en-US"/>
        </w:rPr>
        <w:t>Золотовалютный стандарт (Бреттонвудская валютная система)…………..</w:t>
      </w:r>
    </w:p>
    <w:p w:rsidR="00FB35AD" w:rsidRDefault="00FB35AD" w:rsidP="00FB35AD">
      <w:pPr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  <w:lang w:val="en-US"/>
        </w:rPr>
        <w:t>Международный рынок золота…………………………………………………………</w:t>
      </w:r>
    </w:p>
    <w:p w:rsidR="00FB35AD" w:rsidRDefault="00FB35AD" w:rsidP="00FB35AD">
      <w:pPr>
        <w:numPr>
          <w:ilvl w:val="0"/>
          <w:numId w:val="16"/>
        </w:numPr>
        <w:ind w:firstLine="66"/>
        <w:jc w:val="both"/>
        <w:rPr>
          <w:i/>
          <w:sz w:val="28"/>
        </w:rPr>
      </w:pPr>
      <w:r>
        <w:rPr>
          <w:i/>
          <w:sz w:val="28"/>
        </w:rPr>
        <w:t>Лондонский рынок золота……………………………………………………………</w:t>
      </w:r>
    </w:p>
    <w:p w:rsidR="00FB35AD" w:rsidRDefault="00FB35AD" w:rsidP="00FB35AD">
      <w:pPr>
        <w:pStyle w:val="7"/>
        <w:numPr>
          <w:ilvl w:val="0"/>
          <w:numId w:val="16"/>
        </w:numPr>
        <w:ind w:firstLine="66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Рынок золота в Цюрихе………………………………………………………………</w:t>
      </w:r>
    </w:p>
    <w:p w:rsidR="00FB35AD" w:rsidRDefault="00FB35AD" w:rsidP="00FB35AD">
      <w:pPr>
        <w:pStyle w:val="7"/>
        <w:numPr>
          <w:ilvl w:val="0"/>
          <w:numId w:val="16"/>
        </w:numPr>
        <w:ind w:firstLine="66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Рынок золота в США………………………………………………………………….</w:t>
      </w:r>
    </w:p>
    <w:p w:rsidR="00FB35AD" w:rsidRDefault="00FB35AD" w:rsidP="00FB35AD">
      <w:pPr>
        <w:pStyle w:val="1"/>
        <w:numPr>
          <w:ilvl w:val="0"/>
          <w:numId w:val="16"/>
        </w:numPr>
        <w:ind w:firstLine="66"/>
        <w:jc w:val="both"/>
        <w:rPr>
          <w:i/>
        </w:rPr>
      </w:pPr>
      <w:r>
        <w:rPr>
          <w:i/>
        </w:rPr>
        <w:t>Ведущие мировые биржи……………………………………………………………..</w:t>
      </w:r>
    </w:p>
    <w:p w:rsidR="00FB35AD" w:rsidRDefault="00FB35AD" w:rsidP="00FB35AD">
      <w:pPr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>Международные организации и их разновидности…………………………………</w:t>
      </w:r>
    </w:p>
    <w:p w:rsidR="00FB35AD" w:rsidRDefault="00FB35AD" w:rsidP="00FB35AD">
      <w:pPr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>Международный валютный фонд(МВФ)……………………………………………..</w:t>
      </w:r>
    </w:p>
    <w:p w:rsidR="00FB35AD" w:rsidRDefault="00FB35AD" w:rsidP="00FB35AD">
      <w:pPr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>Всемирный банк…………………………………………………………………………….</w:t>
      </w:r>
    </w:p>
    <w:p w:rsidR="00FB35AD" w:rsidRDefault="00FB35AD" w:rsidP="00FB35AD">
      <w:pPr>
        <w:numPr>
          <w:ilvl w:val="0"/>
          <w:numId w:val="17"/>
        </w:numPr>
        <w:ind w:firstLine="66"/>
        <w:jc w:val="both"/>
        <w:rPr>
          <w:i/>
          <w:sz w:val="28"/>
        </w:rPr>
      </w:pPr>
      <w:r>
        <w:rPr>
          <w:i/>
          <w:sz w:val="28"/>
        </w:rPr>
        <w:t>МБРР……………………………………………………………………………………...</w:t>
      </w:r>
    </w:p>
    <w:p w:rsidR="00FB35AD" w:rsidRDefault="00FB35AD" w:rsidP="00FB35AD">
      <w:pPr>
        <w:numPr>
          <w:ilvl w:val="0"/>
          <w:numId w:val="17"/>
        </w:numPr>
        <w:ind w:firstLine="66"/>
        <w:jc w:val="both"/>
        <w:rPr>
          <w:i/>
          <w:sz w:val="28"/>
        </w:rPr>
      </w:pPr>
      <w:r>
        <w:rPr>
          <w:i/>
          <w:sz w:val="28"/>
        </w:rPr>
        <w:t>МАР……………………………………………………………………………………….</w:t>
      </w:r>
    </w:p>
    <w:p w:rsidR="00FB35AD" w:rsidRDefault="00FB35AD" w:rsidP="00FB35AD">
      <w:pPr>
        <w:numPr>
          <w:ilvl w:val="0"/>
          <w:numId w:val="17"/>
        </w:numPr>
        <w:ind w:firstLine="66"/>
        <w:jc w:val="both"/>
        <w:rPr>
          <w:sz w:val="28"/>
        </w:rPr>
      </w:pPr>
      <w:r>
        <w:rPr>
          <w:i/>
          <w:sz w:val="28"/>
        </w:rPr>
        <w:t>МФК………………………………………………………………………………………</w:t>
      </w:r>
    </w:p>
    <w:p w:rsidR="00FB35AD" w:rsidRDefault="00FB35AD" w:rsidP="00FB35AD">
      <w:pPr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>Европейский банк реконструкции и развития(ЕБРР)………………………………</w:t>
      </w:r>
    </w:p>
    <w:p w:rsidR="00FB35AD" w:rsidRDefault="00FB35AD" w:rsidP="00FB35AD">
      <w:pPr>
        <w:numPr>
          <w:ilvl w:val="0"/>
          <w:numId w:val="47"/>
        </w:numPr>
        <w:rPr>
          <w:i/>
          <w:sz w:val="28"/>
        </w:rPr>
      </w:pPr>
      <w:r>
        <w:rPr>
          <w:i/>
          <w:sz w:val="28"/>
        </w:rPr>
        <w:t>Список используемой литературы</w:t>
      </w:r>
    </w:p>
    <w:p w:rsidR="00FB35AD" w:rsidRDefault="00FB35AD">
      <w:pPr>
        <w:rPr>
          <w:sz w:val="28"/>
        </w:rPr>
      </w:pPr>
    </w:p>
    <w:p w:rsidR="00FB35AD" w:rsidRDefault="00FB35AD">
      <w:pPr>
        <w:ind w:firstLine="360"/>
        <w:rPr>
          <w:sz w:val="28"/>
          <w:lang w:val="en-US"/>
        </w:rPr>
      </w:pPr>
    </w:p>
    <w:p w:rsidR="00FB35AD" w:rsidRDefault="00FB35AD">
      <w:pPr>
        <w:ind w:firstLine="360"/>
        <w:rPr>
          <w:sz w:val="28"/>
          <w:lang w:val="en-US"/>
        </w:rPr>
      </w:pPr>
    </w:p>
    <w:p w:rsidR="00FB35AD" w:rsidRDefault="00FB35AD">
      <w:pPr>
        <w:ind w:firstLine="360"/>
        <w:rPr>
          <w:sz w:val="28"/>
          <w:lang w:val="en-US"/>
        </w:rPr>
      </w:pPr>
    </w:p>
    <w:p w:rsidR="00FB35AD" w:rsidRDefault="00FB35AD">
      <w:pPr>
        <w:ind w:firstLine="360"/>
        <w:rPr>
          <w:sz w:val="28"/>
          <w:lang w:val="en-US"/>
        </w:rPr>
      </w:pPr>
    </w:p>
    <w:p w:rsidR="00FB35AD" w:rsidRDefault="00FB35AD">
      <w:pPr>
        <w:ind w:firstLine="360"/>
        <w:rPr>
          <w:sz w:val="28"/>
          <w:lang w:val="en-US"/>
        </w:rPr>
      </w:pPr>
    </w:p>
    <w:p w:rsidR="00FB35AD" w:rsidRDefault="00FB35AD">
      <w:pPr>
        <w:ind w:firstLine="360"/>
        <w:rPr>
          <w:sz w:val="28"/>
          <w:lang w:val="en-US"/>
        </w:rPr>
      </w:pPr>
    </w:p>
    <w:p w:rsidR="00FB35AD" w:rsidRDefault="00FB35AD">
      <w:pPr>
        <w:ind w:firstLine="360"/>
        <w:rPr>
          <w:sz w:val="28"/>
          <w:lang w:val="en-US"/>
        </w:rPr>
      </w:pPr>
    </w:p>
    <w:p w:rsidR="00FB35AD" w:rsidRDefault="00FB35AD">
      <w:pPr>
        <w:ind w:firstLine="360"/>
        <w:rPr>
          <w:sz w:val="28"/>
          <w:lang w:val="en-US"/>
        </w:rPr>
      </w:pPr>
    </w:p>
    <w:p w:rsidR="00FB35AD" w:rsidRDefault="00FB35AD">
      <w:pPr>
        <w:ind w:firstLine="360"/>
        <w:rPr>
          <w:sz w:val="28"/>
          <w:lang w:val="en-US"/>
        </w:rPr>
      </w:pPr>
    </w:p>
    <w:p w:rsidR="00FB35AD" w:rsidRDefault="00FB35AD">
      <w:pPr>
        <w:ind w:firstLine="360"/>
        <w:rPr>
          <w:sz w:val="28"/>
          <w:lang w:val="en-US"/>
        </w:rPr>
      </w:pPr>
    </w:p>
    <w:p w:rsidR="00FB35AD" w:rsidRDefault="00FB35AD">
      <w:pPr>
        <w:ind w:firstLine="360"/>
        <w:rPr>
          <w:sz w:val="28"/>
          <w:lang w:val="en-US"/>
        </w:rPr>
      </w:pPr>
    </w:p>
    <w:p w:rsidR="00FB35AD" w:rsidRDefault="00FB35AD">
      <w:pPr>
        <w:ind w:firstLine="360"/>
        <w:rPr>
          <w:sz w:val="28"/>
          <w:lang w:val="en-US"/>
        </w:rPr>
      </w:pPr>
    </w:p>
    <w:p w:rsidR="00FB35AD" w:rsidRDefault="00FB35AD" w:rsidP="00FB35AD">
      <w:pPr>
        <w:numPr>
          <w:ilvl w:val="0"/>
          <w:numId w:val="18"/>
        </w:numPr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>Сущность, задачи и функции МВС</w:t>
      </w:r>
    </w:p>
    <w:p w:rsidR="00FB35AD" w:rsidRDefault="00FB35AD">
      <w:pPr>
        <w:ind w:firstLine="567"/>
        <w:rPr>
          <w:b/>
          <w:i/>
          <w:sz w:val="28"/>
          <w:u w:val="single"/>
        </w:rPr>
      </w:pPr>
    </w:p>
    <w:p w:rsidR="00FB35AD" w:rsidRDefault="00FB35AD">
      <w:pPr>
        <w:keepNext/>
        <w:framePr w:dropCap="drop" w:lines="3" w:hSpace="170" w:wrap="around" w:vAnchor="text" w:hAnchor="text"/>
        <w:spacing w:line="960" w:lineRule="exact"/>
        <w:jc w:val="both"/>
        <w:rPr>
          <w:b/>
          <w:i/>
          <w:position w:val="-13"/>
          <w:sz w:val="110"/>
        </w:rPr>
      </w:pPr>
      <w:r>
        <w:rPr>
          <w:b/>
          <w:i/>
          <w:position w:val="-13"/>
          <w:sz w:val="110"/>
        </w:rPr>
        <w:t>М</w:t>
      </w:r>
    </w:p>
    <w:p w:rsidR="00FB35AD" w:rsidRDefault="00FB35AD">
      <w:pPr>
        <w:jc w:val="both"/>
        <w:rPr>
          <w:sz w:val="28"/>
        </w:rPr>
      </w:pPr>
      <w:r>
        <w:rPr>
          <w:b/>
          <w:i/>
          <w:sz w:val="28"/>
        </w:rPr>
        <w:t>ировая валютная система</w:t>
      </w:r>
      <w:r>
        <w:rPr>
          <w:sz w:val="28"/>
        </w:rPr>
        <w:t xml:space="preserve"> является исторически сложившейся формой организации международных денежных отношений, закрепленной межгосударственными договоренностями. Ее возникновение и последующая эволюция отражают объективное развитие процессов интернационализации капитала, требующих адекватных условий в международной денежной сфере.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Различают национальную и мировую валютную системы.</w:t>
      </w:r>
    </w:p>
    <w:p w:rsidR="00FB35AD" w:rsidRDefault="00FB35AD">
      <w:pPr>
        <w:jc w:val="both"/>
        <w:rPr>
          <w:sz w:val="28"/>
        </w:rPr>
      </w:pPr>
      <w:r>
        <w:rPr>
          <w:b/>
          <w:i/>
          <w:sz w:val="28"/>
        </w:rPr>
        <w:t>МВС</w:t>
      </w:r>
      <w:r>
        <w:rPr>
          <w:sz w:val="28"/>
        </w:rPr>
        <w:t xml:space="preserve"> представляет собой совокупность способов, инструментов и межгосударственных органов, с помощью которых осуществляется платежно-расчетный оборот в рамках мирового хозяйства. </w:t>
      </w:r>
    </w:p>
    <w:p w:rsidR="00FB35AD" w:rsidRDefault="00FB35AD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Мирохозяйственные связи немыслимы без налаженной системы валютных отношений, под которыми мы понимаем экономические отношения связанные с функционированием мировых денег. Валютные отношения обслуживают различные виды хозяйственных связей (внешняя торговля, вывоз капитала, предоставление займов, научный обмен, туризм и пр.). </w:t>
      </w:r>
    </w:p>
    <w:p w:rsidR="00FB35AD" w:rsidRDefault="00FB35AD">
      <w:pPr>
        <w:jc w:val="both"/>
        <w:rPr>
          <w:sz w:val="28"/>
        </w:rPr>
      </w:pPr>
      <w:r>
        <w:rPr>
          <w:b/>
          <w:i/>
          <w:sz w:val="28"/>
        </w:rPr>
        <w:t>Национальная валютная система</w:t>
      </w:r>
      <w:r>
        <w:rPr>
          <w:sz w:val="28"/>
        </w:rPr>
        <w:t xml:space="preserve"> - форма организации валютных отношений в стране, определяемой национальным законодательством.</w:t>
      </w:r>
    </w:p>
    <w:p w:rsidR="00FB35AD" w:rsidRDefault="00FB35AD">
      <w:pPr>
        <w:pStyle w:val="30"/>
      </w:pPr>
      <w:r>
        <w:t>Основная задача валютной системы  опосредование международных платежей.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Международная валютная система выполняет функцию мировых денег, а именно, мировые деньги выступают как норма стоимости, средство обращения, средство платежа, средство накопления богатства.</w:t>
      </w:r>
    </w:p>
    <w:p w:rsidR="00FB35AD" w:rsidRDefault="00FB35AD">
      <w:pPr>
        <w:jc w:val="both"/>
        <w:rPr>
          <w:sz w:val="28"/>
        </w:rPr>
      </w:pPr>
    </w:p>
    <w:p w:rsidR="00FB35AD" w:rsidRDefault="00FB35AD" w:rsidP="00FB35AD">
      <w:pPr>
        <w:pStyle w:val="7"/>
        <w:numPr>
          <w:ilvl w:val="0"/>
          <w:numId w:val="19"/>
        </w:numPr>
      </w:pPr>
      <w:r>
        <w:t>Основные элементы МВС</w:t>
      </w:r>
    </w:p>
    <w:p w:rsidR="00FB35AD" w:rsidRDefault="00FB35AD">
      <w:pPr>
        <w:pStyle w:val="32"/>
      </w:pPr>
    </w:p>
    <w:p w:rsidR="00FB35AD" w:rsidRDefault="00FB35AD">
      <w:pPr>
        <w:pStyle w:val="32"/>
        <w:keepNext/>
        <w:framePr w:dropCap="drop" w:lines="3" w:hSpace="113" w:wrap="around" w:vAnchor="text" w:hAnchor="text"/>
        <w:spacing w:line="960" w:lineRule="exact"/>
        <w:ind w:firstLine="0"/>
        <w:rPr>
          <w:i w:val="0"/>
          <w:position w:val="-13"/>
          <w:sz w:val="110"/>
        </w:rPr>
      </w:pPr>
      <w:r>
        <w:rPr>
          <w:i w:val="0"/>
          <w:position w:val="-13"/>
          <w:sz w:val="110"/>
        </w:rPr>
        <w:t>М</w:t>
      </w:r>
    </w:p>
    <w:p w:rsidR="00FB35AD" w:rsidRDefault="00FB35AD">
      <w:pPr>
        <w:pStyle w:val="32"/>
        <w:ind w:firstLine="0"/>
        <w:rPr>
          <w:i w:val="0"/>
        </w:rPr>
      </w:pPr>
      <w:r>
        <w:rPr>
          <w:i w:val="0"/>
        </w:rPr>
        <w:t>ВС включает в себя ряд конструктивных элементов, среди которых можно назвать следующие: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мировой денежный товар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международная ликвидность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валютный курс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валютные рынки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международные валютно-финансовые организации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межгосударственные договоренности</w:t>
      </w:r>
    </w:p>
    <w:p w:rsidR="00FB35AD" w:rsidRDefault="00FB35AD">
      <w:pPr>
        <w:ind w:firstLine="567"/>
        <w:jc w:val="both"/>
        <w:rPr>
          <w:snapToGrid w:val="0"/>
          <w:sz w:val="28"/>
        </w:rPr>
      </w:pPr>
      <w:r>
        <w:rPr>
          <w:sz w:val="28"/>
        </w:rPr>
        <w:t>Мировой денежный товар п</w:t>
      </w:r>
      <w:r>
        <w:rPr>
          <w:snapToGrid w:val="0"/>
          <w:sz w:val="28"/>
        </w:rPr>
        <w:t>ринимается каждой страной в качестве эквивалента вывезенного из нее богатства и обслуживает международные отношения.</w:t>
      </w:r>
    </w:p>
    <w:p w:rsidR="00FB35AD" w:rsidRDefault="00FB35AD">
      <w:pPr>
        <w:pStyle w:val="30"/>
        <w:rPr>
          <w:snapToGrid w:val="0"/>
        </w:rPr>
      </w:pPr>
      <w:r>
        <w:rPr>
          <w:snapToGrid w:val="0"/>
        </w:rPr>
        <w:t>Первым международным денежным товаром выступало золото. Далее мировыми деньгами стали национальные валюты ведущих мировых держав (кредитные деньги). В настоящее время в этом качестве также распространены композиционные или фидуциарные (основанные на доверии к эмитенту), деньги. К ним относятся международные и региональные платежные единицы (такие, как СДР и ЭКЮ).</w:t>
      </w:r>
    </w:p>
    <w:p w:rsidR="00FB35AD" w:rsidRDefault="00FB35A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Валюта это не новый вид денег, а особый способ их функционирования, когда национальные деньги опосредуют международные торговые и кредитные отношения. Таким образом, деньги, используемые в международных экономических отношениях, становятся валютой.</w:t>
      </w:r>
    </w:p>
    <w:p w:rsidR="00FB35AD" w:rsidRDefault="00FB35AD">
      <w:pPr>
        <w:jc w:val="both"/>
        <w:rPr>
          <w:b/>
          <w:i/>
          <w:sz w:val="28"/>
        </w:rPr>
      </w:pPr>
      <w:r>
        <w:rPr>
          <w:b/>
          <w:i/>
          <w:sz w:val="28"/>
        </w:rPr>
        <w:t>Вся валюта делится на 2 типа: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SYMBOL 183 \f "Symbol" \s 8 \h</w:instrText>
      </w:r>
      <w:r>
        <w:rPr>
          <w:sz w:val="28"/>
        </w:rPr>
        <w:fldChar w:fldCharType="end"/>
      </w:r>
      <w:r>
        <w:rPr>
          <w:sz w:val="28"/>
        </w:rPr>
        <w:tab/>
        <w:t>международная торговая валюта;</w:t>
      </w:r>
    </w:p>
    <w:p w:rsidR="00FB35AD" w:rsidRDefault="00FB35AD">
      <w:pPr>
        <w:pStyle w:val="30"/>
      </w:pPr>
      <w:r>
        <w:fldChar w:fldCharType="begin"/>
      </w:r>
      <w:r>
        <w:instrText>SYMBOL 183 \f "Symbol" \s 8 \h</w:instrText>
      </w:r>
      <w:r>
        <w:fldChar w:fldCharType="end"/>
      </w:r>
      <w:r>
        <w:tab/>
        <w:t>международная резервная валюта.</w:t>
      </w:r>
    </w:p>
    <w:p w:rsidR="00FB35AD" w:rsidRDefault="00FB35AD">
      <w:pPr>
        <w:jc w:val="both"/>
        <w:rPr>
          <w:sz w:val="28"/>
        </w:rPr>
      </w:pPr>
      <w:r>
        <w:rPr>
          <w:b/>
          <w:i/>
          <w:sz w:val="28"/>
        </w:rPr>
        <w:t>Международная торговая валюта</w:t>
      </w:r>
      <w:r>
        <w:rPr>
          <w:sz w:val="28"/>
        </w:rPr>
        <w:t xml:space="preserve"> служит для оценки и опосредования международных торговых операций (экспорта и импорта товаров, капитала, услуг и т.п.), она сама выступает объектом купли-продажи</w:t>
      </w:r>
    </w:p>
    <w:p w:rsidR="00FB35AD" w:rsidRDefault="00FB35AD">
      <w:pPr>
        <w:jc w:val="both"/>
        <w:rPr>
          <w:sz w:val="28"/>
        </w:rPr>
      </w:pPr>
      <w:r>
        <w:rPr>
          <w:b/>
          <w:i/>
          <w:sz w:val="28"/>
        </w:rPr>
        <w:t>Международная резервная валюта</w:t>
      </w:r>
      <w:r>
        <w:rPr>
          <w:sz w:val="28"/>
        </w:rPr>
        <w:t xml:space="preserve"> связана с областью, в которой обращаются мировые деньги в отношениях стран друг с другом. Она является средством накопления богатства и валютным резервом государства, используемым для поддержания валютной системы страны в случае необходимости (покрытия дефицита платежного баланса, займов, кредита, помощи и т.д. )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Классификация валют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FB35AD">
        <w:tc>
          <w:tcPr>
            <w:tcW w:w="4678" w:type="dxa"/>
            <w:vAlign w:val="center"/>
          </w:tcPr>
          <w:p w:rsidR="00FB35AD" w:rsidRDefault="00FB3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</w:p>
        </w:tc>
        <w:tc>
          <w:tcPr>
            <w:tcW w:w="4961" w:type="dxa"/>
          </w:tcPr>
          <w:p w:rsidR="00FB35AD" w:rsidRDefault="00FB3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 валют</w:t>
            </w:r>
          </w:p>
        </w:tc>
      </w:tr>
      <w:tr w:rsidR="00FB35AD">
        <w:tc>
          <w:tcPr>
            <w:tcW w:w="4678" w:type="dxa"/>
            <w:vAlign w:val="center"/>
          </w:tcPr>
          <w:p w:rsidR="00FB35AD" w:rsidRDefault="00FB35AD">
            <w:pPr>
              <w:pStyle w:val="1"/>
            </w:pPr>
            <w:r>
              <w:t>По статусу валюты</w:t>
            </w:r>
          </w:p>
        </w:tc>
        <w:tc>
          <w:tcPr>
            <w:tcW w:w="4961" w:type="dxa"/>
          </w:tcPr>
          <w:p w:rsidR="00FB35AD" w:rsidRDefault="00FB35AD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Национальная</w:t>
            </w:r>
          </w:p>
          <w:p w:rsidR="00FB35AD" w:rsidRDefault="00FB35AD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Иностранная</w:t>
            </w:r>
          </w:p>
          <w:p w:rsidR="00FB35AD" w:rsidRDefault="00FB35AD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Международная</w:t>
            </w:r>
          </w:p>
          <w:p w:rsidR="00FB35AD" w:rsidRDefault="00FB35AD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Региональная</w:t>
            </w:r>
          </w:p>
          <w:p w:rsidR="00FB35AD" w:rsidRDefault="00FB35AD">
            <w:pPr>
              <w:rPr>
                <w:sz w:val="28"/>
              </w:rPr>
            </w:pPr>
            <w:r>
              <w:rPr>
                <w:snapToGrid w:val="0"/>
                <w:sz w:val="28"/>
              </w:rPr>
              <w:t>Евровалюта</w:t>
            </w:r>
          </w:p>
        </w:tc>
      </w:tr>
      <w:tr w:rsidR="00FB35AD">
        <w:tc>
          <w:tcPr>
            <w:tcW w:w="4678" w:type="dxa"/>
            <w:vAlign w:val="center"/>
          </w:tcPr>
          <w:p w:rsidR="00FB35AD" w:rsidRDefault="00FB35AD">
            <w:pPr>
              <w:rPr>
                <w:sz w:val="28"/>
              </w:rPr>
            </w:pPr>
            <w:r>
              <w:rPr>
                <w:sz w:val="28"/>
              </w:rPr>
              <w:t>По отношению к валютным запасам страны</w:t>
            </w:r>
          </w:p>
        </w:tc>
        <w:tc>
          <w:tcPr>
            <w:tcW w:w="4961" w:type="dxa"/>
          </w:tcPr>
          <w:p w:rsidR="00FB35AD" w:rsidRDefault="00FB35AD">
            <w:pPr>
              <w:pStyle w:val="1"/>
              <w:rPr>
                <w:snapToGrid w:val="0"/>
              </w:rPr>
            </w:pPr>
            <w:r>
              <w:rPr>
                <w:snapToGrid w:val="0"/>
              </w:rPr>
              <w:t>Резервная</w:t>
            </w:r>
          </w:p>
          <w:p w:rsidR="00FB35AD" w:rsidRDefault="00FB35AD">
            <w:pPr>
              <w:rPr>
                <w:sz w:val="28"/>
              </w:rPr>
            </w:pPr>
            <w:r>
              <w:rPr>
                <w:snapToGrid w:val="0"/>
                <w:sz w:val="28"/>
              </w:rPr>
              <w:t>Прочие валюты</w:t>
            </w:r>
          </w:p>
        </w:tc>
      </w:tr>
      <w:tr w:rsidR="00FB35AD">
        <w:tc>
          <w:tcPr>
            <w:tcW w:w="4678" w:type="dxa"/>
            <w:vAlign w:val="center"/>
          </w:tcPr>
          <w:p w:rsidR="00FB35AD" w:rsidRDefault="00FB35AD">
            <w:pPr>
              <w:rPr>
                <w:sz w:val="28"/>
              </w:rPr>
            </w:pPr>
            <w:r>
              <w:rPr>
                <w:sz w:val="28"/>
              </w:rPr>
              <w:t>По режиму применения</w:t>
            </w:r>
          </w:p>
        </w:tc>
        <w:tc>
          <w:tcPr>
            <w:tcW w:w="4961" w:type="dxa"/>
          </w:tcPr>
          <w:p w:rsidR="00FB35AD" w:rsidRDefault="00FB35AD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Свободно конвертируемая</w:t>
            </w:r>
          </w:p>
          <w:p w:rsidR="00FB35AD" w:rsidRDefault="00FB35AD">
            <w:pPr>
              <w:pStyle w:val="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Частично конвертируемая (внешне конвертируемая, внутренне конвертируемая)</w:t>
            </w:r>
          </w:p>
          <w:p w:rsidR="00FB35AD" w:rsidRDefault="00FB35AD">
            <w:pPr>
              <w:rPr>
                <w:sz w:val="28"/>
              </w:rPr>
            </w:pPr>
            <w:r>
              <w:rPr>
                <w:snapToGrid w:val="0"/>
                <w:sz w:val="28"/>
              </w:rPr>
              <w:t>Неконвертируемая</w:t>
            </w:r>
          </w:p>
        </w:tc>
      </w:tr>
      <w:tr w:rsidR="00FB35AD">
        <w:tc>
          <w:tcPr>
            <w:tcW w:w="4678" w:type="dxa"/>
            <w:vAlign w:val="center"/>
          </w:tcPr>
          <w:p w:rsidR="00FB35AD" w:rsidRDefault="00FB35AD">
            <w:pPr>
              <w:rPr>
                <w:sz w:val="28"/>
              </w:rPr>
            </w:pPr>
            <w:r>
              <w:rPr>
                <w:sz w:val="28"/>
              </w:rPr>
              <w:t>По видам валютных  операций</w:t>
            </w:r>
          </w:p>
        </w:tc>
        <w:tc>
          <w:tcPr>
            <w:tcW w:w="4961" w:type="dxa"/>
          </w:tcPr>
          <w:p w:rsidR="00FB35AD" w:rsidRDefault="00FB35AD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Валюта цены контракта</w:t>
            </w:r>
          </w:p>
          <w:p w:rsidR="00FB35AD" w:rsidRDefault="00FB35AD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Валюта платежа</w:t>
            </w:r>
          </w:p>
          <w:p w:rsidR="00FB35AD" w:rsidRDefault="00FB35AD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Валюта кредита</w:t>
            </w:r>
          </w:p>
          <w:p w:rsidR="00FB35AD" w:rsidRDefault="00FB35AD">
            <w:pPr>
              <w:rPr>
                <w:sz w:val="28"/>
              </w:rPr>
            </w:pPr>
            <w:r>
              <w:rPr>
                <w:snapToGrid w:val="0"/>
                <w:sz w:val="28"/>
              </w:rPr>
              <w:t>Валюта клиринга; Валюта векселя</w:t>
            </w:r>
          </w:p>
        </w:tc>
      </w:tr>
      <w:tr w:rsidR="00FB35AD">
        <w:tc>
          <w:tcPr>
            <w:tcW w:w="4678" w:type="dxa"/>
            <w:vAlign w:val="center"/>
          </w:tcPr>
          <w:p w:rsidR="00FB35AD" w:rsidRDefault="00FB35AD">
            <w:pPr>
              <w:rPr>
                <w:sz w:val="28"/>
              </w:rPr>
            </w:pPr>
            <w:r>
              <w:rPr>
                <w:sz w:val="28"/>
              </w:rPr>
              <w:t>По отношению к курсам других валют</w:t>
            </w:r>
          </w:p>
        </w:tc>
        <w:tc>
          <w:tcPr>
            <w:tcW w:w="4961" w:type="dxa"/>
          </w:tcPr>
          <w:p w:rsidR="00FB35AD" w:rsidRDefault="00FB35AD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Сильная (твердая)</w:t>
            </w:r>
          </w:p>
          <w:p w:rsidR="00FB35AD" w:rsidRDefault="00FB35AD">
            <w:pPr>
              <w:rPr>
                <w:sz w:val="28"/>
              </w:rPr>
            </w:pPr>
            <w:r>
              <w:rPr>
                <w:snapToGrid w:val="0"/>
                <w:sz w:val="28"/>
              </w:rPr>
              <w:t>Слабая (мягкая)</w:t>
            </w:r>
          </w:p>
        </w:tc>
      </w:tr>
      <w:tr w:rsidR="00FB35AD">
        <w:tc>
          <w:tcPr>
            <w:tcW w:w="4678" w:type="dxa"/>
            <w:vAlign w:val="center"/>
          </w:tcPr>
          <w:p w:rsidR="00FB35AD" w:rsidRDefault="00FB35AD">
            <w:pPr>
              <w:rPr>
                <w:sz w:val="28"/>
              </w:rPr>
            </w:pPr>
            <w:r>
              <w:rPr>
                <w:sz w:val="28"/>
              </w:rPr>
              <w:t>По материально вещественной форме</w:t>
            </w:r>
          </w:p>
        </w:tc>
        <w:tc>
          <w:tcPr>
            <w:tcW w:w="4961" w:type="dxa"/>
          </w:tcPr>
          <w:p w:rsidR="00FB35AD" w:rsidRDefault="00FB35AD">
            <w:pPr>
              <w:rPr>
                <w:sz w:val="28"/>
              </w:rPr>
            </w:pPr>
            <w:r>
              <w:rPr>
                <w:sz w:val="28"/>
              </w:rPr>
              <w:t>Наличная</w:t>
            </w:r>
          </w:p>
          <w:p w:rsidR="00FB35AD" w:rsidRDefault="00FB35AD">
            <w:pPr>
              <w:rPr>
                <w:sz w:val="28"/>
              </w:rPr>
            </w:pPr>
            <w:r>
              <w:rPr>
                <w:sz w:val="28"/>
              </w:rPr>
              <w:t>Безналичная</w:t>
            </w:r>
          </w:p>
        </w:tc>
      </w:tr>
      <w:tr w:rsidR="00FB35AD">
        <w:tc>
          <w:tcPr>
            <w:tcW w:w="4678" w:type="dxa"/>
            <w:vAlign w:val="center"/>
          </w:tcPr>
          <w:p w:rsidR="00FB35AD" w:rsidRDefault="00FB35AD">
            <w:pPr>
              <w:pStyle w:val="1"/>
            </w:pPr>
            <w:r>
              <w:t>По принципу построения</w:t>
            </w:r>
          </w:p>
        </w:tc>
        <w:tc>
          <w:tcPr>
            <w:tcW w:w="4961" w:type="dxa"/>
          </w:tcPr>
          <w:p w:rsidR="00FB35AD" w:rsidRDefault="00FB35AD">
            <w:pPr>
              <w:rPr>
                <w:sz w:val="28"/>
              </w:rPr>
            </w:pPr>
            <w:r>
              <w:rPr>
                <w:sz w:val="28"/>
              </w:rPr>
              <w:t>Корзинного типа</w:t>
            </w:r>
          </w:p>
          <w:p w:rsidR="00FB35AD" w:rsidRDefault="00FB35AD">
            <w:pPr>
              <w:rPr>
                <w:sz w:val="28"/>
              </w:rPr>
            </w:pPr>
            <w:r>
              <w:rPr>
                <w:sz w:val="28"/>
              </w:rPr>
              <w:t>Обычная</w:t>
            </w:r>
          </w:p>
        </w:tc>
      </w:tr>
    </w:tbl>
    <w:p w:rsidR="00FB35AD" w:rsidRDefault="00FB35AD">
      <w:pPr>
        <w:rPr>
          <w:b/>
          <w:i/>
          <w:snapToGrid w:val="0"/>
          <w:sz w:val="28"/>
        </w:rPr>
      </w:pPr>
    </w:p>
    <w:p w:rsidR="00FB35AD" w:rsidRDefault="00FB35AD">
      <w:pPr>
        <w:jc w:val="both"/>
        <w:rPr>
          <w:b/>
          <w:i/>
          <w:snapToGrid w:val="0"/>
          <w:sz w:val="28"/>
        </w:rPr>
      </w:pPr>
    </w:p>
    <w:p w:rsidR="00FB35AD" w:rsidRDefault="00FB35AD">
      <w:pPr>
        <w:jc w:val="right"/>
        <w:rPr>
          <w:rFonts w:ascii="Courier New" w:hAnsi="Courier New"/>
          <w:sz w:val="24"/>
        </w:rPr>
      </w:pPr>
    </w:p>
    <w:p w:rsidR="00FB35AD" w:rsidRDefault="00FB35AD">
      <w:pPr>
        <w:jc w:val="center"/>
        <w:rPr>
          <w:b/>
          <w:i/>
          <w:sz w:val="44"/>
          <w:u w:val="single"/>
        </w:rPr>
      </w:pPr>
    </w:p>
    <w:p w:rsidR="00FB35AD" w:rsidRDefault="00FB35AD" w:rsidP="00FB35AD">
      <w:pPr>
        <w:numPr>
          <w:ilvl w:val="0"/>
          <w:numId w:val="20"/>
        </w:numPr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>Валюта и валютные ценности.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keepNext/>
        <w:framePr w:dropCap="drop" w:lines="3" w:hSpace="113" w:wrap="around" w:vAnchor="text" w:hAnchor="text"/>
        <w:spacing w:line="960" w:lineRule="exact"/>
        <w:jc w:val="both"/>
        <w:rPr>
          <w:position w:val="-13"/>
          <w:sz w:val="110"/>
        </w:rPr>
      </w:pPr>
      <w:r>
        <w:rPr>
          <w:b/>
          <w:i/>
          <w:position w:val="-13"/>
          <w:sz w:val="110"/>
          <w:u w:val="single"/>
        </w:rPr>
        <w:t>В</w:t>
      </w:r>
    </w:p>
    <w:p w:rsidR="00FB35AD" w:rsidRDefault="00FB35AD">
      <w:pPr>
        <w:jc w:val="both"/>
        <w:rPr>
          <w:sz w:val="28"/>
        </w:rPr>
      </w:pPr>
      <w:r>
        <w:rPr>
          <w:b/>
          <w:i/>
          <w:sz w:val="28"/>
          <w:u w:val="single"/>
        </w:rPr>
        <w:t>алюта</w:t>
      </w:r>
      <w:r>
        <w:rPr>
          <w:sz w:val="28"/>
        </w:rPr>
        <w:t xml:space="preserve"> (англ. </w:t>
      </w:r>
      <w:r>
        <w:rPr>
          <w:sz w:val="28"/>
          <w:lang w:val="en-US"/>
        </w:rPr>
        <w:t>currency)</w:t>
      </w:r>
      <w:r>
        <w:rPr>
          <w:sz w:val="28"/>
        </w:rPr>
        <w:t xml:space="preserve"> - денежная единица страны, используемая для измерения величины стоимости товаров.</w:t>
      </w:r>
    </w:p>
    <w:p w:rsidR="00FB35AD" w:rsidRDefault="00FB35AD">
      <w:pPr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 xml:space="preserve">Понятие валюты применяется в трех значениях: </w:t>
      </w:r>
    </w:p>
    <w:p w:rsidR="00FB35AD" w:rsidRDefault="00FB35AD">
      <w:pPr>
        <w:pStyle w:val="32"/>
      </w:pPr>
      <w:r>
        <w:t>Денежная единица данной страны, используемая во внешнеэкономических связях и международных расчетах с другими странами (национальная валюта).</w:t>
      </w:r>
    </w:p>
    <w:p w:rsidR="00FB35AD" w:rsidRDefault="00FB35AD">
      <w:pPr>
        <w:pStyle w:val="30"/>
        <w:ind w:firstLine="567"/>
        <w:rPr>
          <w:i/>
        </w:rPr>
      </w:pPr>
      <w:r>
        <w:rPr>
          <w:i/>
        </w:rPr>
        <w:t>Денежные знаки иностранных государств (иностранная валюта), а также кредитные и платежные документы, выраженные в иностранных денежных единицах и применяемые в международных расчетах.</w:t>
      </w:r>
    </w:p>
    <w:p w:rsidR="00FB35AD" w:rsidRDefault="00FB35AD">
      <w:pPr>
        <w:ind w:firstLine="567"/>
        <w:jc w:val="both"/>
        <w:rPr>
          <w:i/>
          <w:sz w:val="28"/>
        </w:rPr>
      </w:pPr>
      <w:r>
        <w:rPr>
          <w:i/>
          <w:sz w:val="28"/>
        </w:rPr>
        <w:t>Международная (региональная) денежная расчетная единица и платежное средство (СДР, ЭКЮ, ранее переводной рубль в СЭВ, арабский расчетный доллар и др.).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 xml:space="preserve">Закон РФ </w:t>
      </w:r>
      <w:r>
        <w:rPr>
          <w:sz w:val="28"/>
          <w:lang w:val="en-US"/>
        </w:rPr>
        <w:t>«</w:t>
      </w:r>
      <w:r>
        <w:rPr>
          <w:sz w:val="28"/>
        </w:rPr>
        <w:t>О валютном регулировании и валютном контроле</w:t>
      </w:r>
      <w:r>
        <w:rPr>
          <w:sz w:val="28"/>
          <w:lang w:val="en-US"/>
        </w:rPr>
        <w:t>»</w:t>
      </w:r>
      <w:r>
        <w:rPr>
          <w:sz w:val="28"/>
        </w:rPr>
        <w:t xml:space="preserve"> от 9 октября 1992 года так определяет понятие </w:t>
      </w:r>
      <w:r>
        <w:rPr>
          <w:sz w:val="28"/>
          <w:lang w:val="en-US"/>
        </w:rPr>
        <w:t>«</w:t>
      </w:r>
      <w:r>
        <w:rPr>
          <w:sz w:val="28"/>
        </w:rPr>
        <w:t>Валюта Российской Федерации</w:t>
      </w:r>
      <w:r>
        <w:rPr>
          <w:sz w:val="28"/>
          <w:lang w:val="en-US"/>
        </w:rPr>
        <w:t>»</w:t>
      </w:r>
      <w:r>
        <w:rPr>
          <w:sz w:val="28"/>
        </w:rPr>
        <w:t>: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находящиеся в обращении, а также изъятые или изымаемые из обращения, но подлежащие обмену рубли в виде банковских билетов ЦБ РФ и монеты;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средства в рублях на счетах в банках и иных кредитных учреждениях в РФ;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средства в рублях на счетах в банках и иных кредитных учреждениях за пределами РФ на основании соглашения, заключаемого между Правительством РФ и ЦБ РФ с соответствующими органами иностранного государства об использовании на территории данного государства валюты РФ в качестве законного платежного средства.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>Деятельность валютного рынка основана, прежде всего на проведении валютных операций, связанных с переходом прав собственности и иных прав на валютные ценности с использованием в качестве средства платежа иностранной валюты и платежных документов в иностранной валюте; ввозом и пересылкой в РФ, а также вывозом и пересылкой из РФ валютных ценностей; осуществлением международных переводов.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 xml:space="preserve">В названном Законе под </w:t>
      </w:r>
      <w:r>
        <w:rPr>
          <w:b/>
          <w:i/>
          <w:sz w:val="28"/>
          <w:lang w:val="en-US"/>
        </w:rPr>
        <w:t>«</w:t>
      </w:r>
      <w:r>
        <w:rPr>
          <w:b/>
          <w:i/>
          <w:sz w:val="28"/>
        </w:rPr>
        <w:t>иностранной валютой</w:t>
      </w:r>
      <w:r>
        <w:rPr>
          <w:b/>
          <w:i/>
          <w:sz w:val="28"/>
          <w:lang w:val="en-US"/>
        </w:rPr>
        <w:t>»</w:t>
      </w:r>
      <w:r>
        <w:rPr>
          <w:b/>
          <w:i/>
          <w:sz w:val="28"/>
        </w:rPr>
        <w:t xml:space="preserve"> понимаются:</w:t>
      </w:r>
    </w:p>
    <w:p w:rsidR="00FB35AD" w:rsidRDefault="00FB35AD">
      <w:pPr>
        <w:pStyle w:val="30"/>
      </w:pPr>
      <w:r>
        <w:t>денежные знаки в виде банкнот, казначейских билетов, монеты, находящиеся в обращении и являющиеся законным платежным средством в соответствующем иностранном государстве или группе государств, а также изъятые или изымаемые из обращения, но подлежащие обмену денежные знаки;</w:t>
      </w:r>
    </w:p>
    <w:p w:rsidR="00FB35AD" w:rsidRDefault="00FB35AD">
      <w:pPr>
        <w:jc w:val="both"/>
        <w:rPr>
          <w:i/>
          <w:sz w:val="28"/>
        </w:rPr>
      </w:pPr>
      <w:r>
        <w:rPr>
          <w:sz w:val="28"/>
        </w:rPr>
        <w:t>средства на счетах в денежных единицах иностранных государств и международных денежных или расчетных единицах.</w:t>
      </w:r>
    </w:p>
    <w:p w:rsidR="00FB35AD" w:rsidRDefault="00FB35AD">
      <w:pPr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 xml:space="preserve">В соответствие с Законом понятие </w:t>
      </w:r>
      <w:r>
        <w:rPr>
          <w:b/>
          <w:i/>
          <w:sz w:val="28"/>
          <w:lang w:val="en-US"/>
        </w:rPr>
        <w:t>«</w:t>
      </w:r>
      <w:r>
        <w:rPr>
          <w:b/>
          <w:i/>
          <w:sz w:val="28"/>
        </w:rPr>
        <w:t>Валютные ценности</w:t>
      </w:r>
      <w:r>
        <w:rPr>
          <w:b/>
          <w:i/>
          <w:sz w:val="28"/>
          <w:lang w:val="en-US"/>
        </w:rPr>
        <w:t>»</w:t>
      </w:r>
      <w:r>
        <w:rPr>
          <w:b/>
          <w:i/>
          <w:sz w:val="28"/>
        </w:rPr>
        <w:t xml:space="preserve"> означает следующее:</w:t>
      </w:r>
    </w:p>
    <w:p w:rsidR="00FB35AD" w:rsidRDefault="00FB35AD">
      <w:pPr>
        <w:jc w:val="both"/>
        <w:rPr>
          <w:i/>
          <w:sz w:val="28"/>
        </w:rPr>
      </w:pPr>
      <w:r>
        <w:rPr>
          <w:i/>
          <w:sz w:val="28"/>
        </w:rPr>
        <w:t>иностранная валюта;</w:t>
      </w:r>
    </w:p>
    <w:p w:rsidR="00FB35AD" w:rsidRDefault="00FB35AD">
      <w:pPr>
        <w:pStyle w:val="30"/>
        <w:rPr>
          <w:i/>
        </w:rPr>
      </w:pPr>
      <w:r>
        <w:rPr>
          <w:i/>
        </w:rPr>
        <w:t>ценные бумаги в иностранной валюте - платежные документы (чеки, векселя, аккредитивы и другие), фондовые ценности (акции, облигации) и другие долговые обязательства, выраженные в иностранной валюте;</w:t>
      </w:r>
    </w:p>
    <w:p w:rsidR="00FB35AD" w:rsidRDefault="00FB35AD">
      <w:pPr>
        <w:pStyle w:val="30"/>
        <w:rPr>
          <w:i/>
        </w:rPr>
      </w:pPr>
      <w:r>
        <w:rPr>
          <w:i/>
        </w:rPr>
        <w:t>драгоценные металлы - золото. Серебро, платина и металлы платиновой группы (палладий, иридий, рутений и осмий) в любом виде и состоянии, за исключением ювелирных и других бытовых изделий, а также лома таких изделий;</w:t>
      </w:r>
    </w:p>
    <w:p w:rsidR="00FB35AD" w:rsidRDefault="00FB35AD">
      <w:pPr>
        <w:jc w:val="both"/>
        <w:rPr>
          <w:i/>
          <w:sz w:val="28"/>
        </w:rPr>
      </w:pPr>
      <w:r>
        <w:rPr>
          <w:i/>
          <w:sz w:val="28"/>
        </w:rPr>
        <w:t>природные драгоценные камни - алмазы, рубины, изумруды, сапфиры и александриты в сыром и обработанном виде а также жемчуг, за исключением ювелирных и других бытовых изделий из этих камней и лома таких изделий.</w:t>
      </w:r>
    </w:p>
    <w:p w:rsidR="00FB35AD" w:rsidRDefault="00FB35AD">
      <w:pPr>
        <w:jc w:val="both"/>
        <w:rPr>
          <w:sz w:val="28"/>
        </w:rPr>
      </w:pPr>
    </w:p>
    <w:p w:rsidR="00FB35AD" w:rsidRDefault="00FB35AD" w:rsidP="00FB35AD">
      <w:pPr>
        <w:pStyle w:val="30"/>
        <w:numPr>
          <w:ilvl w:val="0"/>
          <w:numId w:val="21"/>
        </w:numPr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>Классификация валют.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</w:r>
    </w:p>
    <w:p w:rsidR="00FB35AD" w:rsidRDefault="00FB35AD">
      <w:pPr>
        <w:keepNext/>
        <w:framePr w:dropCap="drop" w:lines="3" w:hSpace="113" w:wrap="around" w:vAnchor="text" w:hAnchor="text"/>
        <w:spacing w:line="960" w:lineRule="exact"/>
        <w:jc w:val="both"/>
        <w:rPr>
          <w:b/>
          <w:i/>
          <w:position w:val="-13"/>
          <w:sz w:val="110"/>
        </w:rPr>
      </w:pPr>
      <w:r>
        <w:rPr>
          <w:b/>
          <w:i/>
          <w:position w:val="-13"/>
          <w:sz w:val="110"/>
        </w:rPr>
        <w:t>В</w:t>
      </w:r>
    </w:p>
    <w:p w:rsidR="00FB35AD" w:rsidRDefault="00FB35AD">
      <w:pPr>
        <w:jc w:val="both"/>
        <w:rPr>
          <w:i/>
          <w:sz w:val="28"/>
        </w:rPr>
      </w:pPr>
      <w:r>
        <w:rPr>
          <w:b/>
          <w:i/>
          <w:sz w:val="28"/>
        </w:rPr>
        <w:t>алюту можно подразделять на различные виды по принципу принадлежности</w:t>
      </w:r>
      <w:r>
        <w:rPr>
          <w:i/>
          <w:sz w:val="28"/>
        </w:rPr>
        <w:t>: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национальная валюта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иностранная валюта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международная (региональная) валюта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СДР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ЭКЮ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арабский динар, андское песо, переводной рубль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резервная валюта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Резервная (ключевая) валюта</w:t>
      </w:r>
      <w:r>
        <w:rPr>
          <w:sz w:val="28"/>
        </w:rPr>
        <w:t xml:space="preserve"> (англ. </w:t>
      </w:r>
      <w:r>
        <w:rPr>
          <w:sz w:val="28"/>
          <w:lang w:val="en-US"/>
        </w:rPr>
        <w:t>reserve currency</w:t>
      </w:r>
      <w:r>
        <w:rPr>
          <w:sz w:val="28"/>
        </w:rPr>
        <w:t>) - иностранная валюта, в которой центральные банки других государств накапливают и хранят резервы для международных расчетов по внешнеторговым операциям и иностранным инвестициям.</w:t>
      </w:r>
    </w:p>
    <w:p w:rsidR="00FB35AD" w:rsidRDefault="00FB35AD">
      <w:pPr>
        <w:pStyle w:val="30"/>
      </w:pPr>
      <w:r>
        <w:tab/>
        <w:t>Первоначально в роли резервной валюты выступал фунт стерлингов, игравший господствующую роль в международных расчетах. Решениями конференции в Бреттон-Вудсе (США, 1944 г.) наряду с фунтом стерлингов в качестве международной платежной и резервной валюты стал использоваться доллар США, который занял вскоре доминирующее положение в международных расчетах. К резервной валюте относятся также марка Германии, швейцарский франк, японская иена. Тем не менее на долю доллара США приходится подавляющая часть валютных резервов.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>Резервная валюта означает конвертируемость соответствующей национальной валюты, достаточную устойчивость ее курса, благоприятствующий правовой режим использования этой валюты в других странах и в международном обмене. Страны, валюта которых используется как резервная, получают определенные выгоды при получении внешних займов, импорте товаров, располагают предпочтительными условиями для осуществления внешнеэкономической экспансии.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 xml:space="preserve">Важнейшую часть валютных резервов государства составляют централизованные запасы золота и иностранной валюты, международных валютно-платежных средств типа СДР, ЭКЮ, резервной валюты страны, помещенные в Международном валютном фонде (МВФ). 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Международная валюта</w:t>
      </w:r>
      <w:r>
        <w:rPr>
          <w:sz w:val="28"/>
        </w:rPr>
        <w:t xml:space="preserve">, включая также </w:t>
      </w:r>
      <w:r>
        <w:rPr>
          <w:b/>
          <w:i/>
          <w:sz w:val="28"/>
        </w:rPr>
        <w:t>региональные валюты</w:t>
      </w:r>
      <w:r>
        <w:rPr>
          <w:sz w:val="28"/>
        </w:rPr>
        <w:t>, используется при расчетах среди членов международных союзов, международных фондов или региональных союзов. В настоящий момент в отдельных секторах мировой торговли в качестве международной валюты используется СДР и ЭКЮ.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Специальные права заимствования</w:t>
      </w:r>
      <w:r>
        <w:rPr>
          <w:b/>
          <w:sz w:val="28"/>
        </w:rPr>
        <w:t xml:space="preserve"> (СДР)</w:t>
      </w:r>
      <w:r>
        <w:rPr>
          <w:sz w:val="28"/>
        </w:rPr>
        <w:t xml:space="preserve"> (англ. </w:t>
      </w:r>
      <w:r>
        <w:rPr>
          <w:sz w:val="28"/>
          <w:lang w:val="en-US"/>
        </w:rPr>
        <w:t>special drawing rights</w:t>
      </w:r>
      <w:r>
        <w:rPr>
          <w:sz w:val="28"/>
        </w:rPr>
        <w:t>) - международные платежные и резервные средства, выпускаемые Международным валютным фондом и используемые для безналичных международных расчетов путем записей на специальных счетах и в качестве расчетной единицы МВФ.</w:t>
      </w:r>
    </w:p>
    <w:p w:rsidR="00FB35AD" w:rsidRDefault="00FB35AD">
      <w:pPr>
        <w:pStyle w:val="30"/>
      </w:pPr>
      <w:r>
        <w:tab/>
        <w:t>В 1969 году МВФ, учитывая возрастающую опасность постоянного дефицита международной ликвидности, а также в силу ограниченности производства золота и расширения объемов мировой торговли, принял решение о создании искусственной валюты - специальных прав заимствования. СДР были созданы как резервная валюта, предназначенная для покрытия платежного баланса страны. Первый выпуск СДР был осуществлен в три этапа между 1970 и 1972 годами в размере 9,5 миллиарда долларов.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>При необходимости страна может обменять свою квоту СДР на валюту, указанную МВФ, без принятия на себя каких-либо предварительных условий в области экономической политики. Страна должна соблюдать условия использования около 70% выделенных СДР в течение пятилетнего периода. Фактически страна покупала СДР, так как должна была представить свою собственную валюту, или валюту другой страны в обмен на СДР.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 xml:space="preserve">Стоимость СДР вначале устанавливалась в золотом эквиваленте (1 СДР = 0,888671 г чистого золота), но с 1 июня 1974 года ее стали определять относительно средневзвешенной стоимости </w:t>
      </w:r>
      <w:r>
        <w:rPr>
          <w:sz w:val="28"/>
          <w:lang w:val="en-US"/>
        </w:rPr>
        <w:t>«</w:t>
      </w:r>
      <w:r>
        <w:rPr>
          <w:sz w:val="28"/>
        </w:rPr>
        <w:t>корзины</w:t>
      </w:r>
      <w:r>
        <w:rPr>
          <w:sz w:val="28"/>
          <w:lang w:val="en-US"/>
        </w:rPr>
        <w:t>»</w:t>
      </w:r>
      <w:r>
        <w:rPr>
          <w:sz w:val="28"/>
        </w:rPr>
        <w:t xml:space="preserve"> 16 валют (доллар США - 33%, марка ФРГ -12,5%, фунт стерлингов - 9%, французский франк - 7,5%, японская иена - 7,5%, канадский доллар - 6%, итальянская лира - 6%, голландский гульден - 4,5%, бельгийский франк - 3,5%, швейцарская крона - 2,5%, австралийский доллар, датская крона, норвежская крона, испанская песета - по 1,5%, австрийский шиллинг и юаровский ренд -по 1%).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>На 1 июля 1974 года стоимость СДР составляла 1,2063 доллара США. В последующем МВФ ввел практику ежедневного установления долларовой стоимости СДР. В настоящее время курс СДР определяется по валютной корзине 5 основных национальных валют (американский доллар, немецкая марка, японская иена, французский франк и фунт стерлингов).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>СДР приносит проценты. Страна получает их, если ее авуары в СДР превышают ее ассигнования, и наоборот, платит проценты, если авуары в СДР меньше ассигнований.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>СДР стали использовать не только как средство платежа для проведения официальных сделок, но и в определенной степени для коммерческих целей. Так, в 1975 году впервые появились облигации без специального обеспечения деноминированные в СДР, а начиная с 1977 года, органы Международной ассоциации транспортной авиации стали использовать СДР для оплаты проезда и грузовых тарифов. Египет применяет СДР для фиксации сборов на Суэцком канале.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 xml:space="preserve">    СДР выполняет ряд функций мировых денег по регулированию платежных балансов, пополнению официальных валютных резервов, соизмерению стоимости национальных валют, но не имеют собственной стоимости и реального обеспечения.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 xml:space="preserve">После того, как в январе 1970 года были выпущены первые СДР, и с учетом второго выпуска в 1979-1981 гг., в настоящее время насчитывается 21,3 миллиарда СДР. Распределение СДР осуществляется автоматически пропорционально квоте стран в МВФ. Преимущества СДР как совокупных обязательств стран - членов МВФ позволяют постепенно превратить в главное активное резервное средство мировой валютной системы. Повышение роли СДР проявляется в расширении их котировок и по отношению к национальным валютам ведущих стран мира. 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Для уменьшения риска при обменных операциях с использованием СДР были созданы так называемые специальные валюты, наибольшее распространение из которых к 90-тым годам получило ЭКЮ - европейская валютная единица.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ЭКЮ</w:t>
      </w:r>
      <w:r>
        <w:rPr>
          <w:b/>
          <w:sz w:val="28"/>
        </w:rPr>
        <w:t xml:space="preserve"> </w:t>
      </w:r>
      <w:r>
        <w:rPr>
          <w:sz w:val="28"/>
        </w:rPr>
        <w:t xml:space="preserve">- (англ. </w:t>
      </w:r>
      <w:r>
        <w:rPr>
          <w:sz w:val="28"/>
          <w:lang w:val="en-US"/>
        </w:rPr>
        <w:t>European Currency Unit</w:t>
      </w:r>
      <w:r>
        <w:rPr>
          <w:sz w:val="28"/>
        </w:rPr>
        <w:t xml:space="preserve">) - представляет собой региональную международную валютную единицу, используемую странами - участниками Европейской валютной системы с 13 марта 1979 года. Создание ЭКЮ преследовало цель способствовать интеграции в валютной сфере, противодействовать влиянию доллара США, и обеспечить предпосылки формирования единого валютного рынка Европейского экономического сообщества. 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 xml:space="preserve">ЭКЮ имеет определенный валютный курс, рассчитываемый на базе валютной корзины национальных валют 12 стран-участниц ЕЭС. Доли отдельных стран в корзине периодически корректируются. Вес каждой валюты в корзине определяется в зависимости от доли, которой располагает государство в валовом национальном продукте ЕС и в экспорте внутри союза. 1 ЭКЮ равен примерно 1,3 долларов США. В отличие от СДР эмиссия официальных ЭКЮ частично обналичена золотом и долларами. Объем эмиссии ЭКЮ превышает выпуск СДР. Так же как и СДР, ЭКЮ представлена в безналичной форме - как запись на счетах центральных (или коммерческих) банков при безналичных перечислениях по ним. Выпущенные казначейством Бельгии в 1987 году юбилейные монеты в ознаменование 30-летия Римского договора достоинством в 50 ЭКЮ (золотые) и 5 ЭКЮ (серебряные) носят коллекционный характер и не имели практического значения для валютного рынка. Половина выпущенных ЭКЮ обеспечена отчислениями от золотых и долларовых запасов, а остальная - национальными валютами стран. 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В Европейской валютной системе (ЕВС) установлен главный курс каждой валюты членов ЕС, выраженный в ЭКЮ. На основе этого главного курса рассчитываются взаимные курсы валют, от которых фактические курсы могут отклоняться в пределах не более 2,25%. Льготный режим колебаний был установлен для испанской песеты, присоединившейся в ЕВС в 1989 году; для итальянской лиры с августа 1993 года допустимый предел колебаний 15%.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ЭКЮ выполняет расчетные и кредитные функции, используется как база выравнивания паритетов валют стран участниц, регулирует отклонения рыночных валютных курсов.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 xml:space="preserve">В отличие от СДР ЭКЮ имеет более широкую сферу применения. ЭКЮ используется не только в официальном, но и частном секторах. В частности, ЭКЮ выступает как валютная единица в совместных фондах и международных валютно-кредитных финансовых организациях; как валюта единых сельскохозяйственных цен, средство межгосударственных расчетов центральных банков - членов ЕС при проведении валютной интервенции и др. Частные (коммерческие) ЭКЮ используются как валюта евро-облигационных займов, банковских депозитов и кредитов. Более 500 крупных международных организаций используют ЭКЮ при предоставлении кредитов. 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 xml:space="preserve">Другим основанием классификации валюты является </w:t>
      </w:r>
      <w:r>
        <w:rPr>
          <w:b/>
          <w:i/>
          <w:sz w:val="28"/>
        </w:rPr>
        <w:t>сфера и режим применения,</w:t>
      </w:r>
      <w:r>
        <w:rPr>
          <w:sz w:val="28"/>
        </w:rPr>
        <w:t xml:space="preserve"> в зависимости от которого валюта подразделяется на свободно конвертируемую, частично конвертируемую и неконвертируемую.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Свободно конвертируемая валюта</w:t>
      </w:r>
      <w:r>
        <w:rPr>
          <w:sz w:val="28"/>
        </w:rPr>
        <w:t xml:space="preserve"> - (англ. </w:t>
      </w:r>
      <w:r>
        <w:rPr>
          <w:sz w:val="28"/>
          <w:lang w:val="en-US"/>
        </w:rPr>
        <w:t>hard currency</w:t>
      </w:r>
      <w:r>
        <w:rPr>
          <w:sz w:val="28"/>
        </w:rPr>
        <w:t>) - денежные единицы, свободно и неограниченно обмениваемые на другие иностранные валюты и международные платежные средства, в любой форме и во всех видах операций.</w:t>
      </w:r>
    </w:p>
    <w:p w:rsidR="00FB35AD" w:rsidRDefault="00FB35AD">
      <w:pPr>
        <w:pStyle w:val="30"/>
      </w:pPr>
      <w:r>
        <w:tab/>
        <w:t>В период действия золотого стандарта конвертируемой автоматически становилась та валюта, которая могла свободно размениваться на золото. После отмены золотого содержания всех валют и их золотых паритетов в начале 70-х годов конвертируемость понимается, как способность свободно продаваться и покупаться, обмениваться по действующему валютному курсу, использоваться для создания различного рода финансовых активов.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 xml:space="preserve">Международный валютный фонд одобряет и дает согласие на использование валюты той или иной страны в качестве свободно конвертируемой. Это означает, что свободно конвертируемая валюта может быть использована во всех видах международных банковских и финансовых операциях как резидентами, так и нерезидентами. В настоящий период 10 валют признаны полностью конвертируемыми, причем пяти из них Международный валютный фонд в 1976 году присвоил квалификацию </w:t>
      </w:r>
      <w:r>
        <w:rPr>
          <w:sz w:val="28"/>
          <w:lang w:val="en-US"/>
        </w:rPr>
        <w:t>«</w:t>
      </w:r>
      <w:r>
        <w:rPr>
          <w:sz w:val="28"/>
        </w:rPr>
        <w:t>свободно используемые валюты</w:t>
      </w:r>
      <w:r>
        <w:rPr>
          <w:sz w:val="28"/>
          <w:lang w:val="en-US"/>
        </w:rPr>
        <w:t>»</w:t>
      </w:r>
      <w:r>
        <w:rPr>
          <w:sz w:val="28"/>
        </w:rPr>
        <w:t>, подчеркивая тем самым высший уровень их конвертируемости. В эту категорию входят: доллар США, немецкая марка, фунт стерлингов, японская иена, французский франк. Эти валюты наиболее активно используются в международных расчетах и всегда имеются в достаточном количестве на мировом валютном рынке и накапливаются в валютных резервах стран мира. Режим функционирования свободно конвертируемой валюты на практике означает отсутствие каких-либо валютных ограничений.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>Степень конвертируемости валюты находится в прямой зависимости от экономического потенциала страны, масштабов ее внешнеэкономической деятельности, устойчивости внутреннего денежного обращения, степени развития национальных товарных и денежных рынков и рынков капитала. Кроме того, необходимым условием поддержания конвертируемости является постоянное участие центрального банка страны в валютных интервенциях для удержания курса своей национальной валюты к доллару США или к какой-либо определенной корзине иностранных валют на оптимальном уровне.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Частично конвертируемая валюта</w:t>
      </w:r>
      <w:r>
        <w:rPr>
          <w:sz w:val="28"/>
        </w:rPr>
        <w:t xml:space="preserve"> </w:t>
      </w:r>
      <w:r>
        <w:rPr>
          <w:sz w:val="28"/>
          <w:lang w:val="en-US"/>
        </w:rPr>
        <w:t>(</w:t>
      </w:r>
      <w:r>
        <w:rPr>
          <w:sz w:val="28"/>
        </w:rPr>
        <w:t xml:space="preserve">англ. </w:t>
      </w:r>
      <w:r>
        <w:rPr>
          <w:sz w:val="28"/>
          <w:lang w:val="en-US"/>
        </w:rPr>
        <w:t>partially convertible currency</w:t>
      </w:r>
      <w:r>
        <w:rPr>
          <w:sz w:val="28"/>
        </w:rPr>
        <w:t>) - это национальная валюта стран, конвертируемость которых в той или иной степени ограничена для определенных держателей, а также и по отдельным видам обменных операций. Этот вид валюты обменивается только на некоторые иностранные валюты и используется не во всех внешнеторговых сделках. В эту группу входят валюты большинства развитых и развивающихся стран. Степень конвертируемости определяется государством в специальных законодательных актах. Законом устанавливается порядок и перечень иностранных валют, на которые может обмениваться национальная валюта, а также количественное выражение такого обмена, разрешается купля-продажа валюты на валютных рынках, указывается круг субъектов таких сделок (т.е. резиденты, нерезиденты, те или другие предприятия, банки, международные организации и т.п.). Закон регулирует также круг и степень ограничения валютообменных операций, условия и порядок их осуществления. Прежде всего это касается внешнеторговых сделок, купли-продажи валюты, открытия валютных счетов и т.п.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>В зависимости от широты круга лиц и операций, связанных с использованием валюты, выделяют также понятие внешней конвертируемости, которая распространяется только на иностранных физических и юридических лиц и только в текущих (а чаще всего - лишь во внешнеторговых) расчетах.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>Существует также понятие внутренней конвертируемости национальной валюты, под которым подразумевают возможность для граждан и организаций данной страны производить покупку иностранной валюты за национальную и оплачивать внешнеторговые сделки без ограничений. Без солидных инвестиций в иностранной валюте, особенно на начальной стадии внедрения, внутренняя конвертируемость не возможна. Например, для введения внутренней конвертируемости польского злотого была оказана значительная валютная помощь иностранных государств.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Неконвертируемая валюта</w:t>
      </w:r>
      <w:r>
        <w:rPr>
          <w:sz w:val="28"/>
        </w:rPr>
        <w:t xml:space="preserve"> (англ. </w:t>
      </w:r>
      <w:r>
        <w:rPr>
          <w:sz w:val="28"/>
          <w:lang w:val="en-US"/>
        </w:rPr>
        <w:t>inconvertible currency</w:t>
      </w:r>
      <w:r>
        <w:rPr>
          <w:sz w:val="28"/>
        </w:rPr>
        <w:t xml:space="preserve"> - это национальная валюта, функционирующая в пределах одной страны и не подлежащая обмену на другие иностранные валюты. К замкнутым валютам относятся валюты стран, которые устанавливают различные ограничения и запреты на покупку и продажу иностранной валюты, на ввоз и вывоз национальной и иностранной валюты, а также применяют иные меры валютного регулирования. Основные причины валютных ограничений - нехватка валюты, давление внешней задолженности, тяжелое состояние платежных балансов. Нужно отметить, что в большинстве стран-членов Международного валютного фонда распространены некоторые валютные ограничения прежде всего, связанные с международными расчетами по текущим операциям, а также с движением инвестиций. Еще более широкое применение валютные ограничения получили в странах, вступивших в МВФ недавно. Это в первую очередь, страны Восточной Европы, государства СНГ. В этих странах валютные ограничения будут постепенно сокращаться по мере их вхождения в рыночные отношения и более гибкого и эффективного применения экономических инструментов в области валютного регулирования и перехода вначале к внутренней, а затем и к общей конвертируемости национальной валюты.</w:t>
      </w:r>
    </w:p>
    <w:p w:rsidR="00FB35AD" w:rsidRDefault="00FB35AD">
      <w:pPr>
        <w:jc w:val="both"/>
        <w:rPr>
          <w:sz w:val="28"/>
        </w:rPr>
      </w:pPr>
    </w:p>
    <w:p w:rsidR="00FB35AD" w:rsidRDefault="00FB35AD" w:rsidP="00FB35AD">
      <w:pPr>
        <w:numPr>
          <w:ilvl w:val="0"/>
          <w:numId w:val="22"/>
        </w:numPr>
        <w:jc w:val="center"/>
        <w:rPr>
          <w:b/>
          <w:sz w:val="44"/>
          <w:u w:val="single"/>
        </w:rPr>
      </w:pPr>
      <w:r>
        <w:rPr>
          <w:b/>
          <w:i/>
          <w:sz w:val="44"/>
          <w:u w:val="single"/>
        </w:rPr>
        <w:t>Функциональная роль валюты.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keepNext/>
        <w:framePr w:dropCap="drop" w:lines="3" w:hSpace="113" w:wrap="around" w:vAnchor="text" w:hAnchor="text"/>
        <w:spacing w:line="960" w:lineRule="exact"/>
        <w:jc w:val="both"/>
        <w:rPr>
          <w:position w:val="-13"/>
          <w:sz w:val="110"/>
        </w:rPr>
      </w:pPr>
      <w:r>
        <w:rPr>
          <w:position w:val="-13"/>
          <w:sz w:val="110"/>
        </w:rPr>
        <w:t>П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 xml:space="preserve">ри осуществлении валютных операций (внешнеторговые контракты, валютные кредиты, купля-продажа валюты, обязательства, двухсторонние расчеты между странами - клиринг и др.) возникла необходимость выделения определенных терминов, характеризующих положение и функциональную роль той или иной валюты, используемой в этих операциях. С этой точки зрения, в валютных отношениях используют следующие термины: </w:t>
      </w:r>
      <w:r>
        <w:rPr>
          <w:i/>
          <w:sz w:val="28"/>
        </w:rPr>
        <w:t xml:space="preserve">валюта цены, валюта платежа, валюта кредита, валюта погашения кредита, валюта векселя, валюта клиринга </w:t>
      </w:r>
      <w:r>
        <w:rPr>
          <w:sz w:val="28"/>
        </w:rPr>
        <w:t>и др.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Валюта цены</w:t>
      </w:r>
      <w:r>
        <w:rPr>
          <w:sz w:val="28"/>
        </w:rPr>
        <w:t xml:space="preserve"> (также называется валютой сделки) - это одно из условий, наряду с валютой платежа, которые обычно согласовываются между экспортером и импортером и фиксируются во внешнеторговом контракте и обозначает денежную единицу, в которой выражена цена товара во внешнеторговом контракте или устанавливается сумма предоставленного международного кредита. Валютой цены может быть валюта экспортера или импортера, кредитора или заемщика, а также валюта третьих стран или какая-либо международная счетная единица (СДР, ЭКЮ). Как правило, в качестве валюты цены в международных контрактах с организациями и фирмами зарубежных стран используют обычно 6-8 конвертируемых валют (чаще всего доллар США, фунт стерлингов, немецкую марку, французский и швейцарский франки, японскую иену). Соглашение о валюте цены контракта осуществляется с целью страхования риска изменения курса валюты платежа.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Валюта платежа</w:t>
      </w:r>
      <w:r>
        <w:rPr>
          <w:sz w:val="28"/>
        </w:rPr>
        <w:t xml:space="preserve"> - это валюта, в которой происходит фактическая оплата товара во внешнеторговой сделке или погашение международного кредита. В этом качестве может выступать любая валюта, согласованная между контрагентами. При расчетах в свободно конвертируемой валюте в торгово-экономических отношениях  с развитыми западными странами, как правило, применяются национальные валюты этих стран. В торговле между развивающимися странами используются валюты развитых стран.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>Валюта платежа может совпадать с валютой сделки, но может и отличаться от последней. В последнем случае в контракте предусматривается порядок определения курса пересчета валюты сделки в валюту платежа, указывая при этом:</w:t>
      </w:r>
    </w:p>
    <w:p w:rsidR="00FB35AD" w:rsidRDefault="00FB35AD">
      <w:pPr>
        <w:jc w:val="both"/>
        <w:rPr>
          <w:i/>
          <w:sz w:val="28"/>
        </w:rPr>
      </w:pPr>
      <w:r>
        <w:rPr>
          <w:i/>
          <w:sz w:val="28"/>
        </w:rPr>
        <w:t>1) дату пересчета (на день платежа или на день, предшествующий дню платежа); 2) валютный рынок, котировки которого принимаются за основу; 3) обычно средний курс между курсами продавца и покупателя (или один из них).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Валюта кредита</w:t>
      </w:r>
      <w:r>
        <w:rPr>
          <w:sz w:val="28"/>
        </w:rPr>
        <w:t xml:space="preserve"> указывает денежную единицу, в которой предоставляются экспортные кредиты. Как правило, они предоставляются в национальных валютах экспортера или импортера, однако в последние годы кредиты стали предоставляться и в валютах третьих стран или в международных расчетных единицах. В конечном счете выбор валюты кредита по экспортно-импортным операциям является предметом переговоров. Состояние валюты кредита оказывает непосредственное влияние на уровень процентных ставок по кредитам и на стоимости сделки. Это связано с существованием так называемых </w:t>
      </w:r>
      <w:r>
        <w:rPr>
          <w:sz w:val="28"/>
          <w:lang w:val="en-US"/>
        </w:rPr>
        <w:t>«</w:t>
      </w:r>
      <w:r>
        <w:rPr>
          <w:sz w:val="28"/>
        </w:rPr>
        <w:t>сильных</w:t>
      </w:r>
      <w:r>
        <w:rPr>
          <w:sz w:val="28"/>
          <w:lang w:val="en-US"/>
        </w:rPr>
        <w:t>»</w:t>
      </w:r>
      <w:r>
        <w:rPr>
          <w:sz w:val="28"/>
        </w:rPr>
        <w:t xml:space="preserve"> и </w:t>
      </w:r>
      <w:r>
        <w:rPr>
          <w:sz w:val="28"/>
          <w:lang w:val="en-US"/>
        </w:rPr>
        <w:t>«</w:t>
      </w:r>
      <w:r>
        <w:rPr>
          <w:sz w:val="28"/>
        </w:rPr>
        <w:t>слабых</w:t>
      </w:r>
      <w:r>
        <w:rPr>
          <w:sz w:val="28"/>
          <w:lang w:val="en-US"/>
        </w:rPr>
        <w:t>»</w:t>
      </w:r>
      <w:r>
        <w:rPr>
          <w:sz w:val="28"/>
        </w:rPr>
        <w:t xml:space="preserve"> валют. Если кредит предоставляется в </w:t>
      </w:r>
      <w:r>
        <w:rPr>
          <w:sz w:val="28"/>
          <w:lang w:val="en-US"/>
        </w:rPr>
        <w:t>«</w:t>
      </w:r>
      <w:r>
        <w:rPr>
          <w:sz w:val="28"/>
        </w:rPr>
        <w:t>слабых</w:t>
      </w:r>
      <w:r>
        <w:rPr>
          <w:sz w:val="28"/>
          <w:lang w:val="en-US"/>
        </w:rPr>
        <w:t>»</w:t>
      </w:r>
      <w:r>
        <w:rPr>
          <w:sz w:val="28"/>
        </w:rPr>
        <w:t xml:space="preserve"> валютах (итальянские лиры, французские или бельгийские франки и др.), курсы которых имеют общую тенденцию к понижению, то кредиторы несут риск обесценивания задолженности, а следовательно, определенных убытков. Если кредит предоставляется в </w:t>
      </w:r>
      <w:r>
        <w:rPr>
          <w:sz w:val="28"/>
          <w:lang w:val="en-US"/>
        </w:rPr>
        <w:t>«</w:t>
      </w:r>
      <w:r>
        <w:rPr>
          <w:sz w:val="28"/>
        </w:rPr>
        <w:t>сильных</w:t>
      </w:r>
      <w:r>
        <w:rPr>
          <w:sz w:val="28"/>
          <w:lang w:val="en-US"/>
        </w:rPr>
        <w:t>»</w:t>
      </w:r>
      <w:r>
        <w:rPr>
          <w:sz w:val="28"/>
        </w:rPr>
        <w:t xml:space="preserve"> валютах (доллары США, швейцарские франки, японские иены, немецкие марки) курсы которых постоянно повышаются, то риск убытков в связи с увеличением суммы задолженности несут заемщики.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>Валюта кредита может не совпадать с валютой платежа. При их определении имеют большое значение принятая практика расчетов, позиции контрагентов на данном валютном рынке, их отношения с кредитными учреждениями, а также согласованная валюта кредита. При несовпадении валюты кредита и валюты платежа в кредитном договоре также предусматривается порядок пересчета одной валюты в другую.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b/>
          <w:i/>
          <w:sz w:val="28"/>
        </w:rPr>
        <w:t>Валюта клиринга</w:t>
      </w:r>
      <w:r>
        <w:rPr>
          <w:sz w:val="28"/>
        </w:rPr>
        <w:t xml:space="preserve"> используется при осуществлении межправительственных соглашений об обязательном зачете встречных требований и обязательств, вытекающих из стоимостного равенства товарных поставок и оказываемых услуг (клиринг). При расчетах по клирингу валюта платежа совпадает с валютой клиринга. В настоящее время Россия осуществляет клиринговые соглашения с Индией, Афганистаном, Ираном, Египтом, Сирией, Кубой. Система валютного клиринга предусматривает наличие ряда обязательных элементов, оговариваемых в межправительственных соглашениях: систему клиринговых счетов, объем клиринга, валюту клиринга, систему выравнивания платежей, схему окончательного погашения задолженности по истечению срока межгосударственного клирингового соглашения с переходом к расчетам в свободно конвертируемой валюте.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Валюта векселя</w:t>
      </w:r>
      <w:r>
        <w:rPr>
          <w:sz w:val="28"/>
        </w:rPr>
        <w:t xml:space="preserve"> - это денежная единица, в которой выставлен вексель. Обычно во внутреннем обороте векселя выставляют в валюте данной страны, а в международном обороте - в валюте страны должника, кредитора либо третьей страны. Вексель - один их видов ценной бумаги, означающий письменное долговое обязательство, - в современных условиях является одним из важнейших инструментов расчетов и кредитования, используемых в международной торговле. В соответствии с Женевской конвенцией о векселях 1930 года вексель должен иметь обязательные реквизиты: вексельную метку - наименование </w:t>
      </w:r>
      <w:r>
        <w:rPr>
          <w:sz w:val="28"/>
          <w:lang w:val="en-US"/>
        </w:rPr>
        <w:t>«</w:t>
      </w:r>
      <w:r>
        <w:rPr>
          <w:sz w:val="28"/>
        </w:rPr>
        <w:t>вексель</w:t>
      </w:r>
      <w:r>
        <w:rPr>
          <w:sz w:val="28"/>
          <w:lang w:val="en-US"/>
        </w:rPr>
        <w:t>»</w:t>
      </w:r>
      <w:r>
        <w:rPr>
          <w:sz w:val="28"/>
        </w:rPr>
        <w:t xml:space="preserve"> в тексте документа; безусловный приказ или обязательство уплатить определенную сумму; наименование плательщика и первого держателя; срок и место платежа; дата и место составления документа; подпись векселедателя.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>Российские организации также активно используют вексельные обязательства в экспортно-импортных операциях. Основное распространение получили переводные векселя, получателем денег по которым выступал Внешэкономбанк СССР, а в настоящее время - уполномоченные банки.</w:t>
      </w:r>
    </w:p>
    <w:p w:rsidR="00FB35AD" w:rsidRDefault="00FB35AD">
      <w:pPr>
        <w:jc w:val="both"/>
        <w:rPr>
          <w:sz w:val="28"/>
        </w:rPr>
      </w:pPr>
    </w:p>
    <w:p w:rsidR="00FB35AD" w:rsidRDefault="00FB35AD" w:rsidP="00FB35AD">
      <w:pPr>
        <w:numPr>
          <w:ilvl w:val="0"/>
          <w:numId w:val="23"/>
        </w:numPr>
        <w:jc w:val="center"/>
        <w:rPr>
          <w:b/>
          <w:sz w:val="44"/>
          <w:u w:val="single"/>
        </w:rPr>
      </w:pPr>
      <w:r>
        <w:rPr>
          <w:b/>
          <w:i/>
          <w:sz w:val="44"/>
          <w:u w:val="single"/>
        </w:rPr>
        <w:t>Положение валюты на рынке.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keepNext/>
        <w:framePr w:dropCap="drop" w:lines="3" w:hSpace="113" w:wrap="around" w:vAnchor="text" w:hAnchor="text"/>
        <w:spacing w:line="960" w:lineRule="exact"/>
        <w:jc w:val="both"/>
        <w:rPr>
          <w:position w:val="-12"/>
          <w:sz w:val="110"/>
        </w:rPr>
      </w:pPr>
      <w:r>
        <w:rPr>
          <w:position w:val="-12"/>
          <w:sz w:val="110"/>
        </w:rPr>
        <w:t>С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 xml:space="preserve">уществует еще одна классификация  валюты на уже упомянутую </w:t>
      </w:r>
      <w:r>
        <w:rPr>
          <w:sz w:val="28"/>
          <w:lang w:val="en-US"/>
        </w:rPr>
        <w:t>«</w:t>
      </w:r>
      <w:r>
        <w:rPr>
          <w:sz w:val="28"/>
        </w:rPr>
        <w:t>слабую</w:t>
      </w:r>
      <w:r>
        <w:rPr>
          <w:sz w:val="28"/>
          <w:lang w:val="en-US"/>
        </w:rPr>
        <w:t>»</w:t>
      </w:r>
      <w:r>
        <w:rPr>
          <w:sz w:val="28"/>
        </w:rPr>
        <w:t xml:space="preserve"> и </w:t>
      </w:r>
      <w:r>
        <w:rPr>
          <w:sz w:val="28"/>
          <w:lang w:val="en-US"/>
        </w:rPr>
        <w:t>«</w:t>
      </w:r>
      <w:r>
        <w:rPr>
          <w:sz w:val="28"/>
        </w:rPr>
        <w:t>сильную</w:t>
      </w:r>
      <w:r>
        <w:rPr>
          <w:sz w:val="28"/>
          <w:lang w:val="en-US"/>
        </w:rPr>
        <w:t>»</w:t>
      </w:r>
      <w:r>
        <w:rPr>
          <w:sz w:val="28"/>
        </w:rPr>
        <w:t xml:space="preserve">. Речь идет о </w:t>
      </w:r>
      <w:r>
        <w:rPr>
          <w:i/>
          <w:sz w:val="28"/>
        </w:rPr>
        <w:t>взаимосвязи валютного курса и положения валюты на валютном рынке</w:t>
      </w:r>
      <w:r>
        <w:rPr>
          <w:sz w:val="28"/>
        </w:rPr>
        <w:t>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 xml:space="preserve">Причем термины эти применяются часто к валютам, которые никак не назовешь слабыми на международном уровне. Так, традиционно, в Европейском союзе </w:t>
      </w:r>
      <w:r>
        <w:rPr>
          <w:sz w:val="28"/>
          <w:lang w:val="en-US"/>
        </w:rPr>
        <w:t>«</w:t>
      </w:r>
      <w:r>
        <w:rPr>
          <w:sz w:val="28"/>
        </w:rPr>
        <w:t>сильными</w:t>
      </w:r>
      <w:r>
        <w:rPr>
          <w:sz w:val="28"/>
          <w:lang w:val="en-US"/>
        </w:rPr>
        <w:t>»</w:t>
      </w:r>
      <w:r>
        <w:rPr>
          <w:sz w:val="28"/>
        </w:rPr>
        <w:t xml:space="preserve"> валютами признанно считаются: германская марка, английский фунт стерлингов, швейцарский франк, голландский гульден, а </w:t>
      </w:r>
      <w:r>
        <w:rPr>
          <w:sz w:val="28"/>
          <w:lang w:val="en-US"/>
        </w:rPr>
        <w:t>«</w:t>
      </w:r>
      <w:r>
        <w:rPr>
          <w:sz w:val="28"/>
        </w:rPr>
        <w:t>слабыми</w:t>
      </w:r>
      <w:r>
        <w:rPr>
          <w:sz w:val="28"/>
          <w:lang w:val="en-US"/>
        </w:rPr>
        <w:t>»</w:t>
      </w:r>
      <w:r>
        <w:rPr>
          <w:sz w:val="28"/>
        </w:rPr>
        <w:t xml:space="preserve"> - французский франк, итальянская лира, бельгийский франк. На мировом валютном рынке расстановка валют несколько иная: к </w:t>
      </w:r>
      <w:r>
        <w:rPr>
          <w:sz w:val="28"/>
          <w:lang w:val="en-US"/>
        </w:rPr>
        <w:t>«</w:t>
      </w:r>
      <w:r>
        <w:rPr>
          <w:sz w:val="28"/>
        </w:rPr>
        <w:t>сильным</w:t>
      </w:r>
      <w:r>
        <w:rPr>
          <w:sz w:val="28"/>
          <w:lang w:val="en-US"/>
        </w:rPr>
        <w:t>»</w:t>
      </w:r>
      <w:r>
        <w:rPr>
          <w:sz w:val="28"/>
        </w:rPr>
        <w:t xml:space="preserve"> валютам добавляются доллар США и японская иена, а все остальные валюты по отношению к ним рассматриваются как </w:t>
      </w:r>
      <w:r>
        <w:rPr>
          <w:sz w:val="28"/>
          <w:lang w:val="en-US"/>
        </w:rPr>
        <w:t>«</w:t>
      </w:r>
      <w:r>
        <w:rPr>
          <w:sz w:val="28"/>
        </w:rPr>
        <w:t>слабые</w:t>
      </w:r>
      <w:r>
        <w:rPr>
          <w:sz w:val="28"/>
          <w:lang w:val="en-US"/>
        </w:rPr>
        <w:t>»</w:t>
      </w:r>
      <w:r>
        <w:rPr>
          <w:sz w:val="28"/>
        </w:rPr>
        <w:t>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 xml:space="preserve">В определенные периоды и </w:t>
      </w:r>
      <w:r>
        <w:rPr>
          <w:sz w:val="28"/>
          <w:lang w:val="en-US"/>
        </w:rPr>
        <w:t>«</w:t>
      </w:r>
      <w:r>
        <w:rPr>
          <w:sz w:val="28"/>
        </w:rPr>
        <w:t>сильные</w:t>
      </w:r>
      <w:r>
        <w:rPr>
          <w:sz w:val="28"/>
          <w:lang w:val="en-US"/>
        </w:rPr>
        <w:t>»</w:t>
      </w:r>
      <w:r>
        <w:rPr>
          <w:sz w:val="28"/>
        </w:rPr>
        <w:t xml:space="preserve"> валюты могут </w:t>
      </w:r>
      <w:r>
        <w:rPr>
          <w:sz w:val="28"/>
          <w:lang w:val="en-US"/>
        </w:rPr>
        <w:t>«</w:t>
      </w:r>
      <w:r>
        <w:rPr>
          <w:sz w:val="28"/>
        </w:rPr>
        <w:t>слабеть</w:t>
      </w:r>
      <w:r>
        <w:rPr>
          <w:sz w:val="28"/>
          <w:lang w:val="en-US"/>
        </w:rPr>
        <w:t>»</w:t>
      </w:r>
      <w:r>
        <w:rPr>
          <w:sz w:val="28"/>
        </w:rPr>
        <w:t xml:space="preserve"> по отношению к своим общеизвестным </w:t>
      </w:r>
      <w:r>
        <w:rPr>
          <w:sz w:val="28"/>
          <w:lang w:val="en-US"/>
        </w:rPr>
        <w:t>«</w:t>
      </w:r>
      <w:r>
        <w:rPr>
          <w:sz w:val="28"/>
        </w:rPr>
        <w:t>слабым</w:t>
      </w:r>
      <w:r>
        <w:rPr>
          <w:sz w:val="28"/>
          <w:lang w:val="en-US"/>
        </w:rPr>
        <w:t>»</w:t>
      </w:r>
      <w:r>
        <w:rPr>
          <w:sz w:val="28"/>
        </w:rPr>
        <w:t xml:space="preserve"> валютам. Так, при понижении курса доллара США по сравнению с французским франком, говорят о </w:t>
      </w:r>
      <w:r>
        <w:rPr>
          <w:sz w:val="28"/>
          <w:lang w:val="en-US"/>
        </w:rPr>
        <w:t>«</w:t>
      </w:r>
      <w:r>
        <w:rPr>
          <w:sz w:val="28"/>
        </w:rPr>
        <w:t>слабости</w:t>
      </w:r>
      <w:r>
        <w:rPr>
          <w:sz w:val="28"/>
          <w:lang w:val="en-US"/>
        </w:rPr>
        <w:t>»</w:t>
      </w:r>
      <w:r>
        <w:rPr>
          <w:sz w:val="28"/>
        </w:rPr>
        <w:t xml:space="preserve"> или </w:t>
      </w:r>
      <w:r>
        <w:rPr>
          <w:sz w:val="28"/>
          <w:lang w:val="en-US"/>
        </w:rPr>
        <w:t>«</w:t>
      </w:r>
      <w:r>
        <w:rPr>
          <w:sz w:val="28"/>
        </w:rPr>
        <w:t>похудении</w:t>
      </w:r>
      <w:r>
        <w:rPr>
          <w:sz w:val="28"/>
          <w:lang w:val="en-US"/>
        </w:rPr>
        <w:t>»</w:t>
      </w:r>
      <w:r>
        <w:rPr>
          <w:sz w:val="28"/>
        </w:rPr>
        <w:t xml:space="preserve"> доллара.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ab/>
        <w:t xml:space="preserve">Часто в валютных отношениях применяют термин </w:t>
      </w:r>
      <w:r>
        <w:rPr>
          <w:sz w:val="28"/>
          <w:lang w:val="en-US"/>
        </w:rPr>
        <w:t>«</w:t>
      </w:r>
      <w:r>
        <w:rPr>
          <w:sz w:val="28"/>
        </w:rPr>
        <w:t>мягкая</w:t>
      </w:r>
      <w:r>
        <w:rPr>
          <w:sz w:val="28"/>
          <w:lang w:val="en-US"/>
        </w:rPr>
        <w:t>»</w:t>
      </w:r>
      <w:r>
        <w:rPr>
          <w:sz w:val="28"/>
        </w:rPr>
        <w:t xml:space="preserve"> и </w:t>
      </w:r>
      <w:r>
        <w:rPr>
          <w:sz w:val="28"/>
          <w:lang w:val="en-US"/>
        </w:rPr>
        <w:t>«</w:t>
      </w:r>
      <w:r>
        <w:rPr>
          <w:sz w:val="28"/>
        </w:rPr>
        <w:t>твердая</w:t>
      </w:r>
      <w:r>
        <w:rPr>
          <w:sz w:val="28"/>
          <w:lang w:val="en-US"/>
        </w:rPr>
        <w:t>»</w:t>
      </w:r>
      <w:r>
        <w:rPr>
          <w:sz w:val="28"/>
        </w:rPr>
        <w:t xml:space="preserve"> валюта, что по сути означает то же самое, что и </w:t>
      </w:r>
      <w:r>
        <w:rPr>
          <w:sz w:val="28"/>
          <w:lang w:val="en-US"/>
        </w:rPr>
        <w:t>«</w:t>
      </w:r>
      <w:r>
        <w:rPr>
          <w:sz w:val="28"/>
        </w:rPr>
        <w:t>сильная</w:t>
      </w:r>
      <w:r>
        <w:rPr>
          <w:sz w:val="28"/>
          <w:lang w:val="en-US"/>
        </w:rPr>
        <w:t>»</w:t>
      </w:r>
      <w:r>
        <w:rPr>
          <w:sz w:val="28"/>
        </w:rPr>
        <w:t xml:space="preserve"> и </w:t>
      </w:r>
      <w:r>
        <w:rPr>
          <w:sz w:val="28"/>
          <w:lang w:val="en-US"/>
        </w:rPr>
        <w:t>«</w:t>
      </w:r>
      <w:r>
        <w:rPr>
          <w:sz w:val="28"/>
        </w:rPr>
        <w:t>слабая</w:t>
      </w:r>
      <w:r>
        <w:rPr>
          <w:sz w:val="28"/>
          <w:lang w:val="en-US"/>
        </w:rPr>
        <w:t>»</w:t>
      </w:r>
      <w:r>
        <w:rPr>
          <w:sz w:val="28"/>
        </w:rPr>
        <w:t xml:space="preserve"> валюта, но как правило, эти термины используют при характеристике валют, не входящих в число свободно конвертируемых. Например, рубль России, рассматривается как </w:t>
      </w:r>
      <w:r>
        <w:rPr>
          <w:sz w:val="28"/>
          <w:lang w:val="en-US"/>
        </w:rPr>
        <w:t>«</w:t>
      </w:r>
      <w:r>
        <w:rPr>
          <w:sz w:val="28"/>
        </w:rPr>
        <w:t>твердая</w:t>
      </w:r>
      <w:r>
        <w:rPr>
          <w:sz w:val="28"/>
          <w:lang w:val="en-US"/>
        </w:rPr>
        <w:t xml:space="preserve">» </w:t>
      </w:r>
      <w:r>
        <w:rPr>
          <w:sz w:val="28"/>
        </w:rPr>
        <w:t xml:space="preserve">валюта по сравнению с </w:t>
      </w:r>
      <w:r>
        <w:rPr>
          <w:sz w:val="28"/>
          <w:lang w:val="en-US"/>
        </w:rPr>
        <w:t>«</w:t>
      </w:r>
      <w:r>
        <w:rPr>
          <w:sz w:val="28"/>
        </w:rPr>
        <w:t>мягким</w:t>
      </w:r>
      <w:r>
        <w:rPr>
          <w:sz w:val="28"/>
          <w:lang w:val="en-US"/>
        </w:rPr>
        <w:t>»</w:t>
      </w:r>
      <w:r>
        <w:rPr>
          <w:sz w:val="28"/>
        </w:rPr>
        <w:t xml:space="preserve"> украинским карбованцем или казахстанским манатом. </w:t>
      </w:r>
    </w:p>
    <w:p w:rsidR="00FB35AD" w:rsidRDefault="00FB35AD">
      <w:pPr>
        <w:jc w:val="both"/>
        <w:rPr>
          <w:sz w:val="28"/>
        </w:rPr>
      </w:pPr>
    </w:p>
    <w:p w:rsidR="00FB35AD" w:rsidRDefault="00FB35AD" w:rsidP="00FB35AD">
      <w:pPr>
        <w:numPr>
          <w:ilvl w:val="0"/>
          <w:numId w:val="24"/>
        </w:numPr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>Валютные курсы</w:t>
      </w:r>
    </w:p>
    <w:p w:rsidR="00FB35AD" w:rsidRDefault="00FB35AD">
      <w:pPr>
        <w:pStyle w:val="2"/>
        <w:jc w:val="both"/>
        <w:rPr>
          <w:sz w:val="24"/>
        </w:rPr>
      </w:pPr>
    </w:p>
    <w:p w:rsidR="00FB35AD" w:rsidRDefault="00FB35AD">
      <w:pPr>
        <w:pStyle w:val="8"/>
        <w:framePr w:dropCap="drop" w:lines="0" w:wrap="around"/>
        <w:jc w:val="both"/>
      </w:pPr>
      <w:r>
        <w:t>В</w:t>
      </w:r>
    </w:p>
    <w:p w:rsidR="00FB35AD" w:rsidRDefault="00FB35AD">
      <w:pPr>
        <w:jc w:val="both"/>
        <w:rPr>
          <w:sz w:val="28"/>
        </w:rPr>
      </w:pPr>
      <w:r>
        <w:rPr>
          <w:b/>
          <w:sz w:val="28"/>
        </w:rPr>
        <w:t>алютный курс</w:t>
      </w:r>
      <w:r>
        <w:rPr>
          <w:sz w:val="28"/>
        </w:rPr>
        <w:t xml:space="preserve"> – это цена денежной единицы одной страны, выраженная в денежных единицах другой страны, при сделках купли-продажи. Такая цена может устанавливаться исходя из соотношения спроса и предложения на определенную валюту в условиях свободного рынка, либо быть строго регламентированной решением правительства или его главным финансовым органом, обычно центральным банком.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jc w:val="both"/>
        <w:rPr>
          <w:sz w:val="28"/>
        </w:rPr>
      </w:pPr>
    </w:p>
    <w:p w:rsidR="00FB35AD" w:rsidRDefault="00FB35AD" w:rsidP="00FB35AD">
      <w:pPr>
        <w:pStyle w:val="7"/>
        <w:numPr>
          <w:ilvl w:val="0"/>
          <w:numId w:val="25"/>
        </w:numPr>
      </w:pPr>
      <w:r>
        <w:t>Виды валютных курсов</w:t>
      </w:r>
    </w:p>
    <w:p w:rsidR="00FB35AD" w:rsidRDefault="00FB35AD"/>
    <w:p w:rsidR="00FB35AD" w:rsidRDefault="00FB35AD" w:rsidP="00FB35AD">
      <w:pPr>
        <w:pStyle w:val="1"/>
        <w:numPr>
          <w:ilvl w:val="0"/>
          <w:numId w:val="26"/>
        </w:numPr>
        <w:rPr>
          <w:b/>
          <w:i/>
          <w:sz w:val="44"/>
        </w:rPr>
      </w:pPr>
      <w:r>
        <w:rPr>
          <w:b/>
          <w:i/>
          <w:sz w:val="44"/>
        </w:rPr>
        <w:t>Прямые котировки</w:t>
      </w:r>
    </w:p>
    <w:p w:rsidR="00FB35AD" w:rsidRDefault="00FB35AD"/>
    <w:p w:rsidR="00FB35AD" w:rsidRDefault="00FB35AD">
      <w:pPr>
        <w:pStyle w:val="5"/>
        <w:framePr w:dropCap="drop" w:lines="0" w:wrap="around"/>
      </w:pPr>
      <w:r>
        <w:t>В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 xml:space="preserve"> большинстве стран курсы иностранных валют выражаются в национальной валюте. Это так называемая система прямых котировок. К примеру, в Германии один доллар США ($) будет приравнен к определенному количеству марок ФРГ (DM), а в Нью-Йорке одна германская марка будет приравнена к определенному количеству центов (или долларов, если курс марки достаточно высокий). </w:t>
      </w:r>
      <w:r>
        <w:rPr>
          <w:b/>
          <w:sz w:val="28"/>
        </w:rPr>
        <w:t>Прямой котировкой</w:t>
      </w:r>
      <w:r>
        <w:rPr>
          <w:sz w:val="28"/>
        </w:rPr>
        <w:t xml:space="preserve"> называется котировка, показывающая, какое количество национальной валюты содержится в одном долларе США. 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 xml:space="preserve">USD/DEM </w:t>
      </w:r>
    </w:p>
    <w:p w:rsidR="00FB35AD" w:rsidRDefault="00FB35AD">
      <w:pPr>
        <w:jc w:val="both"/>
        <w:rPr>
          <w:sz w:val="28"/>
        </w:rPr>
      </w:pPr>
    </w:p>
    <w:p w:rsidR="00FB35AD" w:rsidRDefault="00FB35AD" w:rsidP="00FB35AD">
      <w:pPr>
        <w:pStyle w:val="7"/>
        <w:numPr>
          <w:ilvl w:val="0"/>
          <w:numId w:val="27"/>
        </w:numPr>
        <w:jc w:val="left"/>
        <w:rPr>
          <w:u w:val="none"/>
        </w:rPr>
      </w:pPr>
      <w:r>
        <w:rPr>
          <w:u w:val="none"/>
        </w:rPr>
        <w:t>Косвенные котировки</w:t>
      </w:r>
    </w:p>
    <w:p w:rsidR="00FB35AD" w:rsidRDefault="00FB35AD">
      <w:pPr>
        <w:jc w:val="both"/>
      </w:pPr>
    </w:p>
    <w:p w:rsidR="00FB35AD" w:rsidRDefault="00FB35AD">
      <w:pPr>
        <w:keepNext/>
        <w:framePr w:dropCap="drop" w:lines="3" w:hSpace="113" w:wrap="around" w:vAnchor="text" w:hAnchor="text"/>
        <w:spacing w:line="960" w:lineRule="exact"/>
        <w:jc w:val="both"/>
        <w:rPr>
          <w:position w:val="-13"/>
          <w:sz w:val="110"/>
        </w:rPr>
      </w:pPr>
      <w:r>
        <w:rPr>
          <w:position w:val="-13"/>
          <w:sz w:val="110"/>
        </w:rPr>
        <w:t>В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 xml:space="preserve">еликобритания является одной из немногих стран, применяющих систему косвенных котировок. </w:t>
      </w:r>
      <w:r>
        <w:rPr>
          <w:b/>
          <w:sz w:val="28"/>
        </w:rPr>
        <w:t>Косвенной (обратной) котировкой</w:t>
      </w:r>
      <w:r>
        <w:rPr>
          <w:sz w:val="28"/>
        </w:rPr>
        <w:t xml:space="preserve"> называется котировка, показывающая, какое количество долларов США содержится в единице национальной валюты.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GBP/USD</w:t>
      </w:r>
    </w:p>
    <w:p w:rsidR="00FB35AD" w:rsidRDefault="00FB35AD" w:rsidP="00FB35AD">
      <w:pPr>
        <w:pStyle w:val="7"/>
        <w:numPr>
          <w:ilvl w:val="0"/>
          <w:numId w:val="28"/>
        </w:numPr>
        <w:jc w:val="left"/>
        <w:rPr>
          <w:u w:val="none"/>
        </w:rPr>
      </w:pPr>
      <w:r>
        <w:rPr>
          <w:u w:val="none"/>
        </w:rPr>
        <w:t>Кросс курсы</w:t>
      </w:r>
    </w:p>
    <w:p w:rsidR="00FB35AD" w:rsidRDefault="00FB35AD">
      <w:pPr>
        <w:jc w:val="both"/>
      </w:pPr>
    </w:p>
    <w:p w:rsidR="00FB35AD" w:rsidRDefault="00FB35AD">
      <w:pPr>
        <w:keepNext/>
        <w:framePr w:dropCap="drop" w:lines="3" w:hSpace="113" w:wrap="around" w:vAnchor="text" w:hAnchor="text"/>
        <w:spacing w:line="960" w:lineRule="exact"/>
        <w:jc w:val="both"/>
        <w:rPr>
          <w:position w:val="-13"/>
          <w:sz w:val="110"/>
        </w:rPr>
      </w:pPr>
      <w:r>
        <w:rPr>
          <w:position w:val="-13"/>
          <w:sz w:val="110"/>
        </w:rPr>
        <w:t>Э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 xml:space="preserve">то соотношение между двумя валютами, которое вытекает из их курса по отношению к курсу третьей валюты. При операциях на мировом рынке часто используются </w:t>
      </w:r>
      <w:r>
        <w:rPr>
          <w:b/>
          <w:sz w:val="28"/>
        </w:rPr>
        <w:t>кросс курсы</w:t>
      </w:r>
      <w:r>
        <w:rPr>
          <w:sz w:val="28"/>
        </w:rPr>
        <w:t xml:space="preserve"> с долларом США, так как доллар США является не только основной резервной валютой, но и валютой сделки в большинстве валютных операций. 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DEM/CHF, GBP/DEM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Все расчеты по кросс курсам, связанные по доллару, определяются делением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DEM/CHF = USD/CHF: USD/DEM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Все расчеты по кросс курсам, связанные с фунт стерлингом, определяются умножением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GBP/DEM = GBP/USD x USD/DEM</w:t>
      </w:r>
    </w:p>
    <w:p w:rsidR="00FB35AD" w:rsidRDefault="00FB35AD" w:rsidP="00FB35AD">
      <w:pPr>
        <w:pStyle w:val="7"/>
        <w:numPr>
          <w:ilvl w:val="0"/>
          <w:numId w:val="29"/>
        </w:numPr>
        <w:jc w:val="left"/>
        <w:rPr>
          <w:u w:val="none"/>
        </w:rPr>
      </w:pPr>
      <w:r>
        <w:rPr>
          <w:u w:val="none"/>
        </w:rPr>
        <w:t>Спот-курс</w:t>
      </w:r>
    </w:p>
    <w:p w:rsidR="00FB35AD" w:rsidRDefault="00FB35AD">
      <w:pPr>
        <w:jc w:val="both"/>
      </w:pPr>
    </w:p>
    <w:p w:rsidR="00FB35AD" w:rsidRDefault="00FB35AD">
      <w:pPr>
        <w:keepNext/>
        <w:framePr w:dropCap="drop" w:lines="3" w:hSpace="113" w:wrap="around" w:vAnchor="text" w:hAnchor="text"/>
        <w:spacing w:line="960" w:lineRule="exact"/>
        <w:jc w:val="both"/>
        <w:rPr>
          <w:position w:val="-11"/>
          <w:sz w:val="110"/>
        </w:rPr>
      </w:pPr>
      <w:r>
        <w:rPr>
          <w:position w:val="-11"/>
          <w:sz w:val="110"/>
        </w:rPr>
        <w:t>Ц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ена валюты одной страны, выраженная в валюте другой страны, установленная на момент заключения сделки, при условии обмена валютами банками-контрагентами на второй рабочий день со дня заключения сделки. Спот-курс отражает, насколько высоко оценивается национальная валюта на момент проведения операции за пределами данной страны.</w:t>
      </w:r>
    </w:p>
    <w:p w:rsidR="00FB35AD" w:rsidRDefault="00FB35AD" w:rsidP="00FB35AD">
      <w:pPr>
        <w:numPr>
          <w:ilvl w:val="0"/>
          <w:numId w:val="30"/>
        </w:numPr>
        <w:rPr>
          <w:b/>
          <w:i/>
          <w:sz w:val="44"/>
        </w:rPr>
      </w:pPr>
      <w:r>
        <w:rPr>
          <w:b/>
          <w:i/>
          <w:sz w:val="44"/>
        </w:rPr>
        <w:t>Форвард курсы (курсы валют по срочным сделкам)</w:t>
      </w:r>
    </w:p>
    <w:p w:rsidR="00FB35AD" w:rsidRDefault="00FB35AD">
      <w:pPr>
        <w:keepNext/>
        <w:framePr w:dropCap="drop" w:lines="3" w:hSpace="113" w:wrap="around" w:vAnchor="text" w:hAnchor="text"/>
        <w:spacing w:line="960" w:lineRule="exact"/>
        <w:jc w:val="both"/>
        <w:rPr>
          <w:position w:val="-13"/>
          <w:sz w:val="110"/>
        </w:rPr>
      </w:pPr>
      <w:r>
        <w:rPr>
          <w:position w:val="-13"/>
          <w:sz w:val="110"/>
        </w:rPr>
        <w:t>В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 xml:space="preserve">то время как спот-курс является ценой для валюты на текущий момент времени, форвард-курс служит реальным показателем того, какую стоимость будет иметь валюта через определенный период времени. Период имеет стандартную протяженность: 1,3,6 и 12 месяцев. Форвардные операции делятся на два вида: сделки </w:t>
      </w:r>
      <w:r>
        <w:rPr>
          <w:b/>
          <w:sz w:val="28"/>
        </w:rPr>
        <w:t>аутрайт (outright)</w:t>
      </w:r>
      <w:r>
        <w:rPr>
          <w:sz w:val="28"/>
        </w:rPr>
        <w:t>-единичная  конверсионная  операция с датой валютирования, отличной от даты спот;</w:t>
      </w:r>
      <w:r>
        <w:rPr>
          <w:snapToGrid w:val="0"/>
          <w:sz w:val="28"/>
          <w:lang w:val="en-US"/>
        </w:rPr>
        <w:t xml:space="preserve"> сделки </w:t>
      </w:r>
      <w:r>
        <w:rPr>
          <w:b/>
          <w:snapToGrid w:val="0"/>
          <w:sz w:val="28"/>
          <w:lang w:val="en-US"/>
        </w:rPr>
        <w:t>cвоп (swap</w:t>
      </w:r>
      <w:r>
        <w:rPr>
          <w:b/>
          <w:sz w:val="28"/>
        </w:rPr>
        <w:t>)</w:t>
      </w:r>
      <w:r>
        <w:rPr>
          <w:sz w:val="28"/>
        </w:rPr>
        <w:t>-комбинация двух  противоположных  конверсионных операций с разными датами  валютирования.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FB35AD" w:rsidRDefault="0094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>
        <w:rPr>
          <w:noProof/>
          <w:position w:val="-3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3.75pt" fillcolor="window">
            <v:imagedata r:id="rId7" o:title=""/>
          </v:shape>
        </w:pict>
      </w:r>
      <w:r w:rsidR="00FB35AD">
        <w:rPr>
          <w:b/>
          <w:sz w:val="28"/>
        </w:rPr>
        <w:t> </w:t>
      </w:r>
    </w:p>
    <w:p w:rsidR="00FB35AD" w:rsidRDefault="00FB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FB35AD" w:rsidRDefault="00FB35AD">
      <w:pPr>
        <w:rPr>
          <w:sz w:val="28"/>
        </w:rPr>
      </w:pPr>
      <w:r>
        <w:rPr>
          <w:sz w:val="28"/>
        </w:rPr>
        <w:t xml:space="preserve">FOREX (Foreign Exchange) – международный обмен. Сокращенное обозначение FX, FRX. </w:t>
      </w:r>
    </w:p>
    <w:p w:rsidR="00FB35AD" w:rsidRDefault="00FB35AD">
      <w:pPr>
        <w:rPr>
          <w:sz w:val="28"/>
        </w:rPr>
      </w:pPr>
      <w:r>
        <w:rPr>
          <w:sz w:val="28"/>
        </w:rPr>
        <w:t>USD – американский доллар</w:t>
      </w:r>
    </w:p>
    <w:p w:rsidR="00FB35AD" w:rsidRDefault="00FB35AD">
      <w:pPr>
        <w:rPr>
          <w:sz w:val="28"/>
        </w:rPr>
      </w:pPr>
      <w:r>
        <w:rPr>
          <w:sz w:val="28"/>
        </w:rPr>
        <w:t>CAD - канадский доллар</w:t>
      </w:r>
    </w:p>
    <w:p w:rsidR="00FB35AD" w:rsidRDefault="00FB35AD">
      <w:pPr>
        <w:rPr>
          <w:sz w:val="28"/>
        </w:rPr>
      </w:pPr>
      <w:r>
        <w:rPr>
          <w:sz w:val="28"/>
        </w:rPr>
        <w:t>AUD – австралийский доллар</w:t>
      </w:r>
    </w:p>
    <w:p w:rsidR="00FB35AD" w:rsidRDefault="00FB35AD">
      <w:pPr>
        <w:rPr>
          <w:sz w:val="28"/>
        </w:rPr>
      </w:pPr>
      <w:r>
        <w:rPr>
          <w:sz w:val="28"/>
        </w:rPr>
        <w:t>NZD – новозеландский доллар</w:t>
      </w:r>
    </w:p>
    <w:p w:rsidR="00FB35AD" w:rsidRDefault="00FB35AD">
      <w:pPr>
        <w:pStyle w:val="1"/>
      </w:pPr>
      <w:r>
        <w:t>HKD – гонконгский доллар</w:t>
      </w:r>
    </w:p>
    <w:p w:rsidR="00FB35AD" w:rsidRDefault="00FB35AD">
      <w:pPr>
        <w:rPr>
          <w:sz w:val="28"/>
        </w:rPr>
      </w:pPr>
      <w:r>
        <w:rPr>
          <w:sz w:val="28"/>
        </w:rPr>
        <w:t>NTD – новый тайваньский доллар</w:t>
      </w:r>
    </w:p>
    <w:p w:rsidR="00FB35AD" w:rsidRDefault="00FB35AD">
      <w:pPr>
        <w:rPr>
          <w:sz w:val="28"/>
        </w:rPr>
      </w:pPr>
      <w:r>
        <w:rPr>
          <w:sz w:val="28"/>
        </w:rPr>
        <w:t>SGD – сингапурский доллар</w:t>
      </w:r>
    </w:p>
    <w:p w:rsidR="00FB35AD" w:rsidRDefault="00FB35AD">
      <w:pPr>
        <w:ind w:firstLine="567"/>
        <w:rPr>
          <w:i/>
          <w:sz w:val="28"/>
        </w:rPr>
      </w:pPr>
      <w:r>
        <w:rPr>
          <w:b/>
          <w:i/>
          <w:sz w:val="28"/>
        </w:rPr>
        <w:t xml:space="preserve">Основные валюты </w:t>
      </w:r>
      <w:r>
        <w:rPr>
          <w:i/>
          <w:sz w:val="28"/>
        </w:rPr>
        <w:t>(majors)</w:t>
      </w:r>
    </w:p>
    <w:p w:rsidR="00FB35AD" w:rsidRDefault="00FB35AD">
      <w:pPr>
        <w:rPr>
          <w:sz w:val="28"/>
        </w:rPr>
      </w:pPr>
      <w:r>
        <w:rPr>
          <w:sz w:val="28"/>
          <w:lang w:val="en-US"/>
        </w:rPr>
        <w:t xml:space="preserve">EUR  = </w:t>
      </w:r>
      <w:r>
        <w:rPr>
          <w:sz w:val="28"/>
        </w:rPr>
        <w:t>ECU – международная европейская валюта–</w:t>
      </w:r>
      <w:r>
        <w:rPr>
          <w:sz w:val="28"/>
          <w:lang w:val="en-US"/>
        </w:rPr>
        <w:t>евро(</w:t>
      </w:r>
      <w:r>
        <w:rPr>
          <w:sz w:val="28"/>
        </w:rPr>
        <w:t>экю)</w:t>
      </w:r>
    </w:p>
    <w:p w:rsidR="00FB35AD" w:rsidRDefault="00FB35AD">
      <w:pPr>
        <w:rPr>
          <w:sz w:val="28"/>
        </w:rPr>
      </w:pPr>
      <w:r>
        <w:rPr>
          <w:sz w:val="28"/>
        </w:rPr>
        <w:t>USD – buck (бак), greenback (зеленая спинка)</w:t>
      </w:r>
      <w:r>
        <w:rPr>
          <w:sz w:val="28"/>
        </w:rPr>
        <w:tab/>
      </w:r>
    </w:p>
    <w:p w:rsidR="00FB35AD" w:rsidRDefault="00FB35AD">
      <w:pPr>
        <w:rPr>
          <w:sz w:val="28"/>
        </w:rPr>
      </w:pPr>
      <w:r>
        <w:rPr>
          <w:sz w:val="28"/>
        </w:rPr>
        <w:t>AUD – aussie (оси)</w:t>
      </w:r>
    </w:p>
    <w:p w:rsidR="00FB35AD" w:rsidRDefault="00FB35AD">
      <w:pPr>
        <w:rPr>
          <w:sz w:val="28"/>
        </w:rPr>
      </w:pPr>
      <w:r>
        <w:rPr>
          <w:sz w:val="28"/>
        </w:rPr>
        <w:t>NZD – kiwi (киви)</w:t>
      </w:r>
    </w:p>
    <w:p w:rsidR="00FB35AD" w:rsidRDefault="00FB35AD">
      <w:pPr>
        <w:rPr>
          <w:sz w:val="28"/>
        </w:rPr>
      </w:pPr>
      <w:r>
        <w:rPr>
          <w:sz w:val="28"/>
        </w:rPr>
        <w:t>GBP = STG (cable, стерлинг)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B35AD" w:rsidRDefault="00FB35AD">
      <w:pPr>
        <w:rPr>
          <w:sz w:val="28"/>
        </w:rPr>
      </w:pPr>
      <w:r>
        <w:rPr>
          <w:sz w:val="28"/>
        </w:rPr>
        <w:t>CHF = SWF (швейцарский франк, swissie)</w:t>
      </w:r>
    </w:p>
    <w:p w:rsidR="00FB35AD" w:rsidRDefault="00FB35AD">
      <w:pPr>
        <w:rPr>
          <w:sz w:val="28"/>
        </w:rPr>
      </w:pPr>
      <w:r>
        <w:rPr>
          <w:sz w:val="28"/>
        </w:rPr>
        <w:t>JP</w:t>
      </w:r>
      <w:r>
        <w:rPr>
          <w:sz w:val="28"/>
          <w:lang w:val="en-US"/>
        </w:rPr>
        <w:t>Y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 </w:t>
      </w:r>
      <w:r>
        <w:rPr>
          <w:sz w:val="28"/>
        </w:rPr>
        <w:t>= YEN (японская йена)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 xml:space="preserve">Министры финансов стран Европейского Союза объявили курсы конвертации валют 11 стран в новую общую валюту – </w:t>
      </w:r>
      <w:r>
        <w:rPr>
          <w:i/>
          <w:sz w:val="28"/>
        </w:rPr>
        <w:t>евро</w:t>
      </w:r>
      <w:r>
        <w:rPr>
          <w:sz w:val="28"/>
        </w:rPr>
        <w:t>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Начиная с 0.00 по Европейскому времени 1 января 1999 года евро будет официальной валютой для 11 стран ЕС, хотя банкноты и монеты не появятся в обращении до 2002 года.</w:t>
      </w:r>
    </w:p>
    <w:p w:rsidR="00FB35AD" w:rsidRDefault="00FB35AD">
      <w:pPr>
        <w:jc w:val="both"/>
        <w:rPr>
          <w:sz w:val="28"/>
          <w:lang w:val="en-US"/>
        </w:rPr>
      </w:pPr>
      <w:r>
        <w:rPr>
          <w:sz w:val="28"/>
        </w:rPr>
        <w:t>Великобритания, Швеция, Дания и Греция не участвуют в конвертации.</w:t>
      </w:r>
    </w:p>
    <w:p w:rsidR="00FB35AD" w:rsidRDefault="00FB35AD">
      <w:pPr>
        <w:jc w:val="both"/>
        <w:rPr>
          <w:sz w:val="28"/>
          <w:lang w:val="en-US"/>
        </w:rPr>
      </w:pPr>
    </w:p>
    <w:p w:rsidR="00FB35AD" w:rsidRDefault="00FB35AD">
      <w:pPr>
        <w:pStyle w:val="20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Министры объявили следующие курсы конвертации: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Немецкая марка – 1.95583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Французский франк – 6.55957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Итальянская лира – 1936.21</w:t>
      </w:r>
    </w:p>
    <w:p w:rsidR="00FB35AD" w:rsidRDefault="00FB35AD">
      <w:pPr>
        <w:pStyle w:val="1"/>
        <w:jc w:val="center"/>
        <w:rPr>
          <w:i/>
        </w:rPr>
      </w:pPr>
      <w:r>
        <w:rPr>
          <w:i/>
        </w:rPr>
        <w:t>Испанская песета – 166.386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Португальский эскудо – 200.482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Финская марка – 5.94573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Ирландский фунт – 0.787564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Бельгийский/Люксембургский франк – 40.3399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Голландский гульден – 2.20371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Австрийский шиллинг – 13.7603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 xml:space="preserve">Финансовые учреждения, постоянно осуществляющие котировки курсов покупки и продажи различных валют и вступающие в сделки по ним, называются </w:t>
      </w:r>
      <w:r>
        <w:rPr>
          <w:b/>
          <w:sz w:val="28"/>
        </w:rPr>
        <w:t>маркет-мейкерами</w:t>
      </w:r>
      <w:r>
        <w:rPr>
          <w:sz w:val="28"/>
        </w:rPr>
        <w:t xml:space="preserve"> (market-maker) – 20% мировых банков, осуществляющих до 60% объема всех сделок.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 xml:space="preserve">Финансовые учреждения, осуществляющие запрос стоимости валют, - </w:t>
      </w:r>
      <w:r>
        <w:rPr>
          <w:b/>
          <w:sz w:val="28"/>
        </w:rPr>
        <w:t>маркет-юзеры</w:t>
      </w:r>
      <w:r>
        <w:rPr>
          <w:sz w:val="28"/>
        </w:rPr>
        <w:t xml:space="preserve"> (market-user).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Котировка предлагаемой валюты выглядит следующим образом: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USD/CHF = 1,3450/60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 xml:space="preserve">Это значит, что трейдер может покупать доллары за швейцарские франки по курсу 1,3460, а продавать доллар за швейцарские франки по курсу 1,3450. 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1,3450 – бид (</w:t>
      </w:r>
      <w:r>
        <w:rPr>
          <w:b/>
          <w:sz w:val="28"/>
        </w:rPr>
        <w:t>bid</w:t>
      </w:r>
      <w:r>
        <w:rPr>
          <w:sz w:val="28"/>
        </w:rPr>
        <w:t>); 1,3460 – аск (</w:t>
      </w:r>
      <w:r>
        <w:rPr>
          <w:b/>
          <w:sz w:val="28"/>
        </w:rPr>
        <w:t>ask</w:t>
      </w:r>
      <w:r>
        <w:rPr>
          <w:sz w:val="28"/>
        </w:rPr>
        <w:t>).</w:t>
      </w:r>
    </w:p>
    <w:p w:rsidR="00FB35AD" w:rsidRDefault="00FB35AD">
      <w:pPr>
        <w:rPr>
          <w:sz w:val="28"/>
        </w:rPr>
      </w:pPr>
      <w:r>
        <w:rPr>
          <w:b/>
          <w:sz w:val="28"/>
        </w:rPr>
        <w:t>Пункт(point)</w:t>
      </w:r>
      <w:r>
        <w:rPr>
          <w:sz w:val="28"/>
        </w:rPr>
        <w:t xml:space="preserve"> – это мельчайшее допустимое изменение цены (pips) – 1,345</w:t>
      </w:r>
      <w:r>
        <w:rPr>
          <w:sz w:val="28"/>
          <w:u w:val="single"/>
        </w:rPr>
        <w:t>5</w:t>
      </w:r>
      <w:r>
        <w:rPr>
          <w:sz w:val="28"/>
        </w:rPr>
        <w:t xml:space="preserve"> – 5 pips.</w:t>
      </w:r>
    </w:p>
    <w:p w:rsidR="00FB35AD" w:rsidRDefault="00FB35AD">
      <w:pPr>
        <w:jc w:val="both"/>
        <w:rPr>
          <w:sz w:val="28"/>
        </w:rPr>
      </w:pPr>
      <w:r>
        <w:rPr>
          <w:b/>
          <w:sz w:val="28"/>
        </w:rPr>
        <w:t>Спрэд</w:t>
      </w:r>
      <w:r>
        <w:rPr>
          <w:sz w:val="28"/>
        </w:rPr>
        <w:t xml:space="preserve"> (</w:t>
      </w:r>
      <w:r>
        <w:rPr>
          <w:b/>
          <w:sz w:val="28"/>
        </w:rPr>
        <w:t>spread</w:t>
      </w:r>
      <w:r>
        <w:rPr>
          <w:sz w:val="28"/>
        </w:rPr>
        <w:t>) – разница между ценой покупки и ценой продажи: 1,3460 – 1,3450 = 10 pts points (стандартный банковский спрэд от 5 до 10 pts).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1,3460 – 1,34 – big figure (большая фигура).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Hedge (изгородь) – страхование от валютных рисков.</w:t>
      </w:r>
    </w:p>
    <w:p w:rsidR="00FB35AD" w:rsidRDefault="00FB35AD">
      <w:pPr>
        <w:jc w:val="both"/>
        <w:rPr>
          <w:sz w:val="28"/>
        </w:rPr>
      </w:pPr>
    </w:p>
    <w:p w:rsidR="00FB35AD" w:rsidRDefault="00FB35AD" w:rsidP="00FB35AD">
      <w:pPr>
        <w:pStyle w:val="9"/>
        <w:numPr>
          <w:ilvl w:val="0"/>
          <w:numId w:val="31"/>
        </w:numPr>
      </w:pPr>
      <w:r>
        <w:t>Золотой (золотомонетный) стандарт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pStyle w:val="30"/>
        <w:keepNext/>
        <w:framePr w:dropCap="drop" w:lines="3" w:hSpace="113" w:wrap="around" w:vAnchor="text" w:hAnchor="text"/>
        <w:spacing w:line="960" w:lineRule="exact"/>
        <w:rPr>
          <w:position w:val="-13"/>
          <w:sz w:val="110"/>
        </w:rPr>
      </w:pPr>
      <w:r>
        <w:rPr>
          <w:position w:val="-13"/>
          <w:sz w:val="110"/>
        </w:rPr>
        <w:t>П</w:t>
      </w:r>
    </w:p>
    <w:p w:rsidR="00FB35AD" w:rsidRDefault="00FB35AD">
      <w:pPr>
        <w:pStyle w:val="30"/>
      </w:pPr>
      <w:r>
        <w:t>ервая мировая валютная система стихийно сформировалась в XIX в. после промышленной революции на базе золотого монометаллизма в форме золотомонетного стандарта. Юридически она была оформлена межгосударственным соглашением на Парижской конференции в 1867 г., которое, признало золото единственной формой мировых денег. В условиях, когда золото непосредственно выполняло все функции денег, денежная и валютная системы - национальная и мировая - были тождественны, с той лишь разницей, что монеты, выходя на мировой рынок, сбрасывали, по выражению К. Маркса, “национальные мундиры” и принимались в платежи по весу.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Парижская валютная система базировалась на следующих структурных принципах: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1. Ее основой являлся «золотомонетный» стандарт.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2. Каждая валюта имела золотое содержание (Великобритания - с 1816 г.. США - 1837 г.. Германия - 1875 г., Франция - 1878 г., Россия - с 1895 1897 гг.). В соответствии с золотым содержанием валют устанавливались их золотые паритеты. Валюты свободно конвертировались в золото. Золото использовалось как общепризнанные мировые деньги.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3. Сложился режим свободно плавающих курсов валют с учетом рыночного спроса и предложения, но в пределах золотых точек. Если рыночный курс золотых монет отклонялся от паритета, основанного на их золотом содержании, то должники предпочитали расплачиваться по международным обязательствам золотом, а не иностранными валютами.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Золотой стандарт играл в известной степени роль стихийного регулятора производства, внешнеэкономических связей, денежного обращения, платежных балансов, международных расчетов. Золотомонетный стандарт был относительно эффективен до первой мировой войны, когда действовал рыночный механизм выравнивания валютного курса и платежного баланса. Страны с дефицитным платежным балансом вынуждены были проводить дефляционную политику, ограничивать денежную массу в обращении при отливе золота за границу. Однако Великобритания, несмотря на хронический дефицит платежного баланса (1890 1913 гг.), не испытывала отлива капитала (за счет того, что в то время Англия широко распространяла ликвидные краткосрочные обязательства и иные страны предпочитали их накапливать. Известно, что в 1913 году сумма обязательств более чем втрое превысила золотой запас Англии). В течение почти ста лет до первой мировой войны только доллар США и австрийский талер были девальвированы: золотое содержание фунта стерлингов и французского франка было неизменным в 1815-1914 гг. Используя ведущую роль фунта стерлингов в международных расчетах (80% в 1913 г.), Великобритания покрывала дефицит платежного баланса национальной валютой.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Характерно, что и в разгар триумфа золотомонетного стандарта международные расчеты осуществлялись в основном с использованием тратт (переводных векселей), выписанных в национальной валюте, преимущественно в английской. Золото издавна служило лишь для оплаты пассивного сальдо баланса международных расчетов страны. С конца XIX в. появилась также тенденция к уменьшению доли золота в денежной массе (в США, Франции, Великобритании с 28% в 1872 г. до 10% в 1913 г.) и в официальных резервах (с 94% в 1980 г. до 80% в 1913 г.). Разменные кредитные деньги вытесняли золото. Регулирующий механизм золотомонетного стандарта переставал действовать при экономических кризисах (1825, 1836-1839, 1847, 1857, 1855 гг. и др.). Регулирование валютного курса путем дефляционной политики, снижения цен и увеличения безработицы оборачивалось против трудящихся, порождая социальную напряженность.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Постепенно золотой стандарт (золотомонетный) изжил себя. так как не соответствовал масштабам возросших хозяйственных связей и условиям регулируемой рыночной экономики. Первая мировая война ознаменовалась кризисом мировой валютной системы. «Золотомонетный" стандарт перестал функционировать как денежная и валютная системы.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Для финансирования военных затрат (208 млрд. довоенных золотых долл.) наряду с налогами, займами. инфляцией использовалось золото как мировые деньги. Были введены валютные ограничения. Валютный курс стал принудительным и потому нереальным. С началом войны центральные банки воюющих стран прекратили размен банкнот на золото и увеличили их эмиссию для покрытия военных расходов. К 1920 г. курс фунта стерлингов по отношению к доллару США упал на 1/3, французского франка и итальянской лиры - на 2/3, немецкой марки - на 96%. Непосредственной причиной валютного кризиса явилась военная и послевоенная разруха.</w:t>
      </w:r>
    </w:p>
    <w:p w:rsidR="00FB35AD" w:rsidRDefault="00FB35AD">
      <w:pPr>
        <w:ind w:firstLine="567"/>
        <w:jc w:val="both"/>
        <w:rPr>
          <w:sz w:val="28"/>
        </w:rPr>
      </w:pPr>
    </w:p>
    <w:p w:rsidR="00FB35AD" w:rsidRDefault="00FB35AD" w:rsidP="00FB35AD">
      <w:pPr>
        <w:numPr>
          <w:ilvl w:val="0"/>
          <w:numId w:val="32"/>
        </w:numPr>
        <w:jc w:val="center"/>
        <w:rPr>
          <w:b/>
          <w:i/>
          <w:sz w:val="44"/>
          <w:u w:val="single"/>
          <w:lang w:val="en-US"/>
        </w:rPr>
      </w:pPr>
      <w:r>
        <w:rPr>
          <w:b/>
          <w:i/>
          <w:sz w:val="44"/>
          <w:u w:val="single"/>
        </w:rPr>
        <w:t>Золотодевизный стандарт</w:t>
      </w:r>
    </w:p>
    <w:p w:rsidR="00FB35AD" w:rsidRDefault="00FB35AD">
      <w:pPr>
        <w:ind w:firstLine="567"/>
        <w:jc w:val="both"/>
        <w:rPr>
          <w:sz w:val="28"/>
        </w:rPr>
      </w:pPr>
    </w:p>
    <w:p w:rsidR="00FB35AD" w:rsidRDefault="00FB35AD">
      <w:pPr>
        <w:pStyle w:val="5"/>
        <w:framePr w:dropCap="drop" w:lines="0" w:wrap="around"/>
      </w:pPr>
      <w:r>
        <w:t>П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осле периода валютного хаоса, возникшего в итоге первой мировой войны, был установлен золотодевизный стандарт, основанный на золоте и ведущих валютах, конвертируемых в золото (по предложению английских экспертов). Платежные средства в иностранной валюте, предназначенные для международных расчетов, стали называть девизами. Вторая мировая валютная система была юридически оформлена межгосударственным соглашением, достигнутым на Генуэзской международной экономической конференции в 1922г.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Генуэзская валютная система функционировала на следующих принципах: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1. Ее основой являлись золото и девизы - иностранные валюты. В тот период и денежные системы 30 стран базировались на золотодевизном стандарте. Национальные кредитные деньги стали использоваться в качестве международных платежно-резервных средств. Однако в меж</w:t>
      </w:r>
      <w:r>
        <w:rPr>
          <w:sz w:val="28"/>
          <w:lang w:val="en-US"/>
        </w:rPr>
        <w:t>-</w:t>
      </w:r>
      <w:r>
        <w:rPr>
          <w:sz w:val="28"/>
        </w:rPr>
        <w:t>военный период статус резервной валюты не был официально закреплен ни за одной валютой, а фунт стерлингов и доллар США оспаривали лидерство в этой сфере.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2. Сохранены золотые паритеты. Конверсия валют в золото стала осуществляться не только непосредственно (США, Франция, Великобритания), но и косвенно, через иностранные валюты (Германия и еще около 30 стран).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3. Восстановлен режим свободно колеблющихся валютных курсов.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4. Валютное регулирование осуществлялось в форме активной валютной политики, международных конференций, совещаний.</w:t>
      </w:r>
    </w:p>
    <w:p w:rsidR="00FB35AD" w:rsidRDefault="00FB35AD">
      <w:pPr>
        <w:ind w:firstLine="567"/>
        <w:jc w:val="both"/>
        <w:rPr>
          <w:sz w:val="28"/>
        </w:rPr>
      </w:pP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В 1922-1928 гг. наступила относительная валютная стабилизация. Но ее непрочность заключалась в следующем: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- вместо «золотомонетного» стандарта были введены урезанные формы золотого монометаллизма в денежной и валютной системах;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- процесс стабилизации валют растянулся на ряд лет, что создало условия для валютных войн;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- методы валютной стабилизации предопределили ее шаткость. В большинстве стран были проведены девальвации, причем в Германии, Австрии, Польше, Венгрии близкие к нуллификации. Французский франк был девальвирован в 1928 г. на 80%. Только в Великобритании в результате ревальвации в 1925 г. было восстановлено довоенное золотое содержание фунта стерлингов;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- стабилизация валют была проведена с помощью иностранных кредитов. США, Великобритания, Франция использовали тяжелое валютно-экономическое положение ряда стран для навязывания им обременительных условий межправительственных займов. Одним из условий займов, предоставленных Германии, Австрии, Польше и другим странам, было назначение иностранных экспертов, которые контролировали их валютную политику.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Под влиянием закона неравномерности развития в итоге первой мировой войны валютно-финансовый центр переместился из Западной Европы в США. Это было обусловлено рядом причин: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- значительно вопрос валютно-экономический потенциал США. Нью-Йорк превратился в мировой финансовый центр, увеличился экспорт капитала. США стали ведущим торговым партнером большинства стран: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- США превратились из должника в кредитора. Задолженность США в 1913 г. достигала 7 млрд. долл. а требования - 2 млрд. долл.; к 1926 г. внешний долг США уменьшился более чем вдвое, а требования к другим странам возросли в 6 раз (до 12 млрд.);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- произошло перераспределение официальных золотых резервов. В 1914-1921 гг. чистый приток золота в США в основном из Европы составил 2,3 млрд. долл.; в 1924 г. 46% золотых запасов капиталистических стран оказались сосредоточенными в США (в 1914 г. - 23%);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- США были почти единственной страной, сохранившей золотомонетный стандарт, и курс доллара к западноевропейским валютам повысился на 10-90%.</w:t>
      </w:r>
    </w:p>
    <w:p w:rsidR="00FB35AD" w:rsidRDefault="00FB35AD">
      <w:pPr>
        <w:ind w:firstLine="567"/>
        <w:jc w:val="both"/>
        <w:rPr>
          <w:sz w:val="28"/>
        </w:rPr>
      </w:pP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 xml:space="preserve">Соединенные Штаты развернули борьбу за гегемонию доллара, однако, добились статуса резервной валюты лишь после второй мировой войны. 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В меж</w:t>
      </w:r>
      <w:r>
        <w:rPr>
          <w:sz w:val="28"/>
          <w:lang w:val="en-US"/>
        </w:rPr>
        <w:t>-</w:t>
      </w:r>
      <w:r>
        <w:rPr>
          <w:sz w:val="28"/>
        </w:rPr>
        <w:t>военный период доллар и фунт стерлингов, находившиеся в состоянии активной валютной войны, не получили всеобщего признания.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Валютная стабилизация была взорвана мировым кризисом в 30-х годах. Главные особенности мирового валютного кризиса 1929-1936 гг. таковы: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- циклический характер: валютный кризис переплелся с мировым экономическим и денежно-кредитным кризисом;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- структурный характер: принципы мировой валютной системы - золотодевизного стандарта - потерпели крушение;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- большая продолжительность: с 1929 до осени 1936 г.;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 xml:space="preserve">- исключительная глубина и острота: курс ряда валют снизился на 50-84%. 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Погоня за золотом сопровождалась увеличением частной тезаврации и перераспределением официальных золотых резервов. Международный кредит, особенно долгосрочный, был парализован  в  результате  массового  банкротства иностранных должников, включая 25 государств (Германия, Австрия, Турция и др.), которые прекратили внешние платежи. Образовалась масса “горячих” денег - денежных капиталов, стихийно перемещающихся из одной страны в другую в поисках получения спекулятивной сверхприбыли или надежного убежища. Внезапность их притока и оттока усилила нестабильность платежных балансов, колебаний валютных курсов и кризисных потрясений экономики. Валютные противоречия переросли в валютную войну, проводимую посредством валютной интервенции, валютных стабилизационных фондов, валютного демпинга, валютных ограничений и валютных блоков: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- крайняя неравномерность развития: кризис поражал то одни, то другие страны, причем в разное время и с различной силой.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В период с 1929 по 1930 г. обесценились валюты аграрных и колониальных стран, так как резко сократился спрос на сырье на мировом рынке, и цены на него понизились на 50-70%. т.е. в большей степени, чем на импортируемые этими странами товары.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В середине 1931 г. слабым звеном в мировой валютной системе оказались Германия и Австрия в связи с отливом иностранных капиталов, уменьшением официального золотого запаса и банкротством банков. Германия ввела валютные ограничения, прекратила платежи по внешним долгам и размен марки на золото. Фактически в стране был отменен золотой стандарт, а официальный курс марки был заморожен на уровне 1924 г.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Затем (осенью 1931 г.) золотой стандарт был отменен в Великобритании, когда мировой экономический кризис достиг апогея. Непосредственной причиной этого послужило ухудшение состояния платежного баланса и уменьшение официальных золотых резервов страны в связи с резким сокращением экспорта товаров и доходов от “невидимых” операций. 21 сентября 1931 г. был прекращен размен фунта стерлингов на золотые слитки, а курс его снижен на 30,5%. Одновременно была проведена девальвация валют стран Британского содружества наций (кроме Канады) и скандинавских стран, имевших с Великобританией тесные торговые связи. В отличие от Германии в Великобритании с целью поддержания престижа фунта стерлингов не были введены валютные ограничения. Великобритания выиграла от девальвации: за счет девальвационной премии английские экспортеры широко практиковали валютный демпинг, что вызвало валютную войну с Францией и США. В итоге уменьшилось пассивное сальдо платежного баланса Великобритании.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В апреле 1933 г. золотомонетный стандарт был отменен и в США, когда экономический кризис перерастал в депрессию особого рода. Непосредственной причиной отмены послужило значительное и неравномерное падение цен. Это вызвало массовые банкротства. Банкротство 10 тыс. банков (40% общего количества банков страны) подорвало денежно-кредитную систему США и привело к отмене размена долларовых банкнот на золотые монеты. Для ведения валютной войны в целях повышения конкурентоспособности национальных корпораций США проводили политику снижения курса доллара путем скупки золота. К январю 1934 г. доллар обесценился по отношению к золоту на 40% (по сравнению с 1929 г.) и был девальвирован на 41%, а официальная цепа золота была повышена с 20.67 до 35 долл. за тройскую унцию.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Осенью 1936 г. в эпицентре валютного кризиса оказалась Франция, которая дольше других стран поддерживала золотой стандарт. Мировой экономический кризис охватил Францию позднее, и она усиленно обменивала фунты стерлингов и доллары на золото, несмотря на недовольство Великобритании и США. Опираясь на возросший золотой запас (83 млрд. франц. фр. в 1932 г. против 29 млрд. в июне 1929 г.). Франция возглавила золотой блок в целях сохранения золотого стандарта. Приверженность Франции к золоту объясняется историческими особенностями ее развития. Будучи международным ростовщиком. французский финансовый капитал предпочитал твердую золотую валюту. Особенно в этом были заинтересованы рантье, число которых в стране было значительным.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Экономический кризис вызвал пассивность платежного баланса, увеличение дефицита государственного бюджета, отлив золота из страны. Финансовая олигархия сознательно вывозила капиталы, чтобы подорвать позиции французского франка и доверие к правительству Народного фронта. Искусственное сохранение золотого стандарта снижало конкурентоспособность французских фирм. В 1929-1936 гг. стоимость экспорта Франции сократилась в 4 раза при уменьшении мирового экспорта в целом на 36%. 1 октября 1936 г. во Франции был прекращен размен банкнот на золотые слитки, а франк был девальвирован на 25%. Поскольку золотое содержание ее валюты не было зафиксировано, а до 1937 г, были лишь установлены пределы колебаний (0,038-0,044 г. чистого золота), появилось понятие “блуждающий франк”. Несмотря на девальвацию, французский экспорт сокращался, так как валютная и торговая войны ограничили возможности валютного демпинга. Инфляция снижала конкурентоспособность французских фирм. Поэтому падение курса франка не было приостановлено в отличие от фунта стерлингов и доллара.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В результате кризиса Генуэзская валютная система утратила относительную эластичность и стабильность.</w:t>
      </w:r>
    </w:p>
    <w:p w:rsidR="00FB35AD" w:rsidRDefault="00FB35AD">
      <w:pPr>
        <w:ind w:firstLine="567"/>
        <w:jc w:val="both"/>
        <w:rPr>
          <w:sz w:val="28"/>
        </w:rPr>
      </w:pPr>
    </w:p>
    <w:p w:rsidR="00FB35AD" w:rsidRDefault="00FB35AD" w:rsidP="00FB35AD">
      <w:pPr>
        <w:numPr>
          <w:ilvl w:val="0"/>
          <w:numId w:val="33"/>
        </w:numPr>
        <w:jc w:val="center"/>
        <w:rPr>
          <w:i/>
          <w:sz w:val="44"/>
          <w:lang w:val="en-US"/>
        </w:rPr>
      </w:pPr>
      <w:r>
        <w:rPr>
          <w:b/>
          <w:i/>
          <w:sz w:val="44"/>
          <w:u w:val="single"/>
          <w:lang w:val="en-US"/>
        </w:rPr>
        <w:t>Золотовалютный стандарт</w:t>
      </w:r>
      <w:r>
        <w:rPr>
          <w:i/>
          <w:sz w:val="44"/>
          <w:lang w:val="en-US"/>
        </w:rPr>
        <w:t xml:space="preserve"> </w:t>
      </w:r>
      <w:r>
        <w:rPr>
          <w:b/>
          <w:i/>
          <w:sz w:val="44"/>
          <w:u w:val="single"/>
          <w:lang w:val="en-US"/>
        </w:rPr>
        <w:t>(Бреттонвудская валютная система)</w:t>
      </w:r>
    </w:p>
    <w:p w:rsidR="00FB35AD" w:rsidRDefault="00FB35AD">
      <w:pPr>
        <w:ind w:firstLine="567"/>
        <w:jc w:val="both"/>
        <w:rPr>
          <w:sz w:val="28"/>
        </w:rPr>
      </w:pPr>
    </w:p>
    <w:p w:rsidR="00FB35AD" w:rsidRDefault="00FB35AD">
      <w:pPr>
        <w:pStyle w:val="5"/>
        <w:framePr w:dropCap="drop" w:lines="0" w:wrap="around"/>
      </w:pPr>
      <w:r>
        <w:t>В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торая мировая война привела к углублению кризиса Генуэзской валютной системы. Разработка проекта новой мировой валютной системы началась еще в годы войны (в апреле 1943 г.), так как страны опасались потрясений, подобных валютному кризису после первой мировой войны и в 30-х годах. Англо-американские эксперты, работавшие с 1941 г., с самого начала отвергли идею возвращения к золотому стандарту. Они стремились разработать принципы новой мировой валютной системы, способной обеспечить экономический рост и ограничить негативные социально-экономические последствия экономических кризисов. Стремление США закрепить господствующее положение доллара в мировой валютной системе нашло отражение в плане Г. Д. Уайта (начальника отдела валютных исследований министерства финансов США).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В результате долгих дискуссий по планам Г. Д. Уайта и Дж. М. Кейнса (Великобритания) формально победил американский проект, хотя кейнсианские идеи межгосударственного валютного регулирования были также положены в основу Бреттон-Вудской системы.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На валютно-финансовой конференции ООН в Бреттон-Вудсе (США) в 1944 г. были установлены правила организации мировой торговли, валютных, кредитных и финансовых отношений и оформлена третья мировая валютная система. Принятые на конференции статьи соглашения (Устав МВФ) определили следующие принципы Бреттонвудской валютной системы.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1. Введен золотодевизный стандарт, основанный на золоте и двух резервных валютах - долларе США и фунте стерлингов.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2. Бреттонвудское соглашение предусматривало четыре формы использования золота как основы мировой валютной системы: а) сохранены золотые паритеты валют и введена их фиксация в МВФ; б) золото продолжало использоваться как международное платежное и резервное средство; в) опираясь на свой возросший валютно-экономический потенциал и золотой запас, США приравняли доллар к золоту, чтобы закрепить за ним статус главной резервной валюты: г) с этой целью казначейство США продолжало разменивать доллар на золото иностранным центральным банкам и правительственным учреждениям по официальной цене, установленной в 1934 г., исходя из золотого содержания своей валюты (35 долл. за 1 тройскую унцию, равную 31,1035 г).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Предусматривалось введение взаимной обратимости валют. Валютные ограничения подлежали постепенной отмене, и для их введения требовалось согласие МВФ.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3. Курсовое соотношение валют и их конвертируемость стали осуществляться на основе фиксированных валютных паритетов, выраженных в долларах. Девальвация свыше 10% допускалась лишь с разрешения Фонда. Установлен режим фиксированных валютных курсов: рыночный курс валют мог отклоняться от паритета в узких пределах (</w:t>
      </w:r>
      <w:r>
        <w:rPr>
          <w:sz w:val="28"/>
        </w:rPr>
        <w:sym w:font="Times New Roman" w:char="00B1"/>
      </w:r>
      <w:r>
        <w:rPr>
          <w:sz w:val="28"/>
        </w:rPr>
        <w:t xml:space="preserve"> 1% по Уставу МВФ и </w:t>
      </w:r>
      <w:r>
        <w:rPr>
          <w:sz w:val="28"/>
        </w:rPr>
        <w:sym w:font="Times New Roman" w:char="00B1"/>
      </w:r>
      <w:r>
        <w:rPr>
          <w:sz w:val="28"/>
        </w:rPr>
        <w:t xml:space="preserve"> 0,75% по Европейскому валютному соглашению). Для соблюдения пределов колебаний курсов валют центральные банки были обязаны проводить валютную интервенцию в долларах.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4. Впервые в истории созданы международные валютно-кредитные организации МВФ и МБРР. МВФ предоставляет кредиты в иностранной валюте для покрытия дефицита платежных балансов в целях поддержки нестабильных валют, осуществляет контроль, за соблюдением странами-членами принципов мировой валютной системы, обеспечивает валютное сотрудничество стран.</w:t>
      </w:r>
    </w:p>
    <w:p w:rsidR="00FB35AD" w:rsidRDefault="00FB35AD">
      <w:pPr>
        <w:ind w:firstLine="567"/>
        <w:jc w:val="both"/>
        <w:rPr>
          <w:sz w:val="28"/>
        </w:rPr>
      </w:pP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Под давлением США в рамках Бреттонвудской системы утвердился «долларовый» стандарт - мировая валютная система, основанная на господстве доллара. Доллар - единственная валюта, конвертируемая в золото, стал базой валютных паритетов, преобладающим средством международных расчетов, валютой интервенции и резервных активов. Тем самым США установили монопольную валютную гегемонию, оттеснив своего давнего конкурента - Великобританию. Фунт стерлингов, хотя за ним в силу исторической традиции также была закреплена роль резервной валюты, стал крайне нестабильным. США использовали статус доллара как резервной валюты для покрытия национальной валютой дефицита своего платежного баланса. Специфика долларового стандарта в рамках Бреттонвудской системы заключалась в сохранении связи доллара с золотом. США из двух путей стабилизации валютного курса - узкие пределы его колебаний или конверсия доллара в золото - предпочли второй. Тем самым они возложили на своих партнеров заботу о поддержании фиксированных курсов их валют к доллару путем валютной интервенции. В итоге усилилось давление США на валютные рынки.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Засилье США в Бреттонвудской системе было обусловлено новой расстановкой сил в мировом хозяйстве. США сосредоточили в 1949 г. 54,6% капиталистического промышленного производства, 33% экспорта, почти 75% золотых резервов. Доля стран Западной Европы в промышленном производстве упала с 38,3% в 1937 г. до 31% в 1948 г., в экспорте товаров - с 34,5 до 28 %. Золотые запасы этих стран снизились с 9 млрд. до 4 млрд. долл., что было в 6 раз меньше, чем у США (24,6 млрд. долл.), и их размеры резко колебались по странам. Великобритания, обслуживая своей валютой 40% международной торговли, обладала лишь 4% официальных золотых резервов капиталистического мира. Внешнеэкономическая экспансия монополий ФРГ сочетались с ростом золотовалютных резервов страны (с 28 млн. долл. в 1951 г. до 2,6 млрд. в 1958 г.).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Экономическое превосходство США и слабость их конкурентов обусловили господствующее положение доллара, который пользовался всеобщим спросом. Опорой долларовой гегемонии служил также “долларовый голод” - острая нехватка долларов, вызываемая дефицитом платежного баланса, особенно по расчетам с США, и недостатком золотовалютных резервов. Он отражал в концентрированном виде тяжелое валютно-экопомическое положение стран Западной Европы и Японии, их зависимость от США, долларовую гегемонию.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Дефицит платежных балансов, истощение официальных золотовалютных резервов, “долларовый голод” привели к усилению валютных ограничений в большинстве стран, кроме США, Канады, Швейцарии. Обратимость валют была ограничена. Ввоз и вывоз валюты без разрешения органов валютного контроля были запрещены. Официальный валютный курс носил искусственный характер. Многие страны Латинской Америки и Западной Европы практиковали множественность валютных курсов - дифференциацию курсовых соотношений валют по видам операций, товарным группам и регионам.</w:t>
      </w:r>
    </w:p>
    <w:p w:rsidR="00FB35AD" w:rsidRDefault="00FB35AD">
      <w:pPr>
        <w:ind w:firstLine="567"/>
        <w:jc w:val="both"/>
        <w:rPr>
          <w:sz w:val="28"/>
          <w:lang w:val="en-US"/>
        </w:rPr>
      </w:pPr>
      <w:r>
        <w:rPr>
          <w:sz w:val="28"/>
        </w:rPr>
        <w:t>В связи с неустойчивостью экономики, кризисом платежных балансов, усилением инфляции курсы западноевропейских валют по отношению к доллару снизились. Возникли “курсовые перекосы” - несоответствие рыночного и официального курсов, что явилось причиной многочисленных девальваций. Среди них особое место занимает массовая девальвация валют в 1949 г., которая имела ряд особенностей</w:t>
      </w:r>
      <w:r>
        <w:rPr>
          <w:sz w:val="28"/>
          <w:lang w:val="en-US"/>
        </w:rPr>
        <w:t>: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1. Это снижение курсов было проявлением локального валютного кризиса, возникшего под влиянием мирового экономического кризиса, который в 1948-1949 гг. поразил в основном США и Канаду и болезненно отразился на пострадавшей от войны экономике стран Западной Европы.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2. Девальвация 1949 г. была проведена в известной мере под давлением США, которые использовали повышение курса доллара для поощрения экспорта своих капиталов, скупки по дешевке товаров и предприятий в западноевропейских странах и их колониях. С ревальвацией доллара увеличилась долларовая задолженность стран Западной Европы, что усилило их зависимость от США. Повышение курса доллара не отразилось на экспорте США, занимавших монопольное положение на мировых рынках в тот период.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3. Курс национальных валют был снижен непосредственно по отношению к доллару, так как в соответствии с Бреттонвудским соглашением были установлены фиксированные валютные курсы к американской валюте, а некоторые валюты не имели золотых паритетов.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4. Девальвация была проведена в условиях валютных ограничений.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5. Девальвация носила массовый характер; она охватила валюты 37 стран, на долю которых приходилось 60-70% мировой капиталистической торговли. В их числе Великобритания, страны Британского содружества, Франция, Италия, Бельгия, Нидерланды, Швеция, Западная Германия, Япония. Только США сохранили золотое содержание доллара, установленное при девальвации в 1934 г., хотя его покупательная способность внутри страны снизилась вдвое по сравнению с довоенным периодом.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6. Снижение курса валют колебалось от 12% - 30,5%.</w:t>
      </w:r>
    </w:p>
    <w:p w:rsidR="00FB35AD" w:rsidRDefault="00FB35AD">
      <w:pPr>
        <w:ind w:firstLine="567"/>
        <w:jc w:val="both"/>
        <w:rPr>
          <w:sz w:val="28"/>
        </w:rPr>
      </w:pP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Обесценение валют вызвало удорожание импорта и дополнительный рост цен.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США использовали принципы Бреттонвудской системы (статус доллара как резервной валюты, фиксированные паритеты и курсы валют, конверсия доллара в золото, заниженная официальная цена золота) для усиления своих позиций в мире. Страны Западной Европы и Японии были заинтересованы в заниженном курсе своих валют в целях поощрения экспорта и восстановления разрушенной экономики. В связи с этим Бреттонвудская система в течение четверти века способствовала росту мировой торговли и производства. Однако послевоенная валютная система не обеспечила равные права всем ее участникам и позволила США влиять на валютную политику стран Западной Европы, Японии и других членов МВФ. Неравноправный валютный механизм способствовал укреплению позиций в США в мире в ущерб другим странам и международному сотрудничеству. Противоречия Бреттонвудской системы постепенно расшатывали ее.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Экономические, энергетический, сырьевой кризисы дестабилизировали Бреттонвудскую систему в 60-х годах. Изменение соотношения сил на мировой арене подорвало ее структурные принципы. С конца 60-х годов постепенно ослабло экономическое, финансово-валютное,   технологическое    превосходство США над конкурентами. Западная Европа и Япония, укрепив свои валютно-экономический потенциалы, стали теснить американского партнера.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Доллар постепенно утрачивает монопольное положение в валютных отношениях. Марка ФРГ. швейцарский франк, другие западноевропейские валюты и японская иена соперничают с ним на валютных рынках, используются как международное платежное и резервное средство. Если доля доллара в официальных валютных резервах постепенно снижалась (с 84,5 до 73,1% в 1973-1980 гг.), то соответственно повышалась доля марки ФРГ (с 6,7 до 14%), японской иены (с 0 до 3.7%), швейцарского франка (с 1,4 до 4,1%). Исчезла экономическая и валютная зависимость стран Западной Европы от США, характерная для первых послевоенных лет. С формированием трех центров партнерства и соперничества возник новый центр валютной силы в виде ЕЭС, соперничающего с США и Японией.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Поскольку США использовали доллар для покрытия дефицита платежного баланса, это привело к огромному увеличению их краткосрочной внешней задолженности в виде долларовых накоплений иностранных банков. “Долларовый голод” сменился “долларовым пресыщением”. Избыток долларов в виде лавины “горячих” денег периодически обрушивался то на одну, то на другую страну, вызывая валютные потрясения и бегство от доллара.</w:t>
      </w:r>
    </w:p>
    <w:p w:rsidR="00FB35AD" w:rsidRDefault="00FB35AD">
      <w:pPr>
        <w:ind w:firstLine="567"/>
        <w:jc w:val="both"/>
        <w:rPr>
          <w:sz w:val="28"/>
        </w:rPr>
      </w:pP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С конца 60-х годов наступил кризис Бреттонвудской валютной системы. Ее структурные принципы, установленные в 1944 г. перестали соответствовать условиям производства, мировой торговли и изменившемуся соотношению сил в мире. Сущность кризиса Бреттонвудской системы заключается в противоречии между интернациональным характером МЭО и использованием для их осуществления национальных валют, подверженных обесценению.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Причины кризиса Бреттонвудской валютной системы можно представить в виде цепочки взаимообусловленных факторов: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1. Неустойчивость и противоречия экономики. Начало валютного кризиса в 1967 г. совпало с замедлением экономического роста. Мировой циклический кризис охватил экономику Запада в 1969-1970, 1974-1975, 1979-1983 гг.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2. Усиление инфляции отрицательно влияло на мировые цены и конкурентоспособность фирм. поощряло спекулятивные перемещения “горячих” денег. Различные темпы инфляции в разных странах оказывали влияние на динамику курса валют, а снижение покупательной способности денег создавало условия для “курсовых перекосов”.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3. Нестабильность платежных балансов. Хронический дефицит балансов одних стран (особенно Великобритании, США) и активное сальдо других (ФРГ, Японии) усиливали резкие колебания курсов валют соответственно вниз и вверх.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4. Несоответствие принципов Бреттонвудской системы изменившемуся соотношению сил на мировой арене. Валютная система, основанная на международном использовании подверженных обесценению национальных валют - доллара и отчасти фунта стерлингов, пришла в противоречие с интернационализацией мирового хозяйства. Это противоречие Бреттонвудской системы усиливалось по мере ослабления экономических позиций США и Великобритании, которые погашали дефицит своих платежных балансов национальными валютами, злоупотребляя их статусом резервных валют. В итоге была подорвана устойчивость резервных валют.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Право владельцев долларовых авуаров обменивать их на золото пришло в противоречие с возможностью США выполнять это обязательство. Их внешняя краткосрочная задолженность увеличилась в 8.5 раза за 1949-1971 гг. а официальные золотые резервы сократились в 2,4 раза. Следствием американской политики “дефицита без слез” явился подрыв доверия к доллару. Заниженная в интересах США официальная цена золота, служившая базой золотых и валютных паритетов, стала резко отклоняться от рыночной цены. Межгосударственное регулирование ее оказалось бессильным. В итоге искусственные золотые паритеты утратили смысл. Это противоречие усугублялось упорным отказом США до 1971 г. девальвировать свою валюту. Режим фиксированных паритетов и курсов валют усугубил “курсовые перекосы”. В соответствии с Бреттонвудским соглашением центральные банки были вынуждены осуществлять валютную интервенцию с использованием доллара даже в ущерб национальным интересам. Тем самым США переложили на другие страны заботу о поддержании курса доллара, что обостряло межгосударственные противоречия.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Поскольку Устав МВФ допускал лишь разовые девальвации и ревальвации, то в ожидании их усиливались движение “горячих” денег, спекулятивная игра на понижение курса слабых валют и на повышение курса сильных валют. Межгосударственное валютное регулирование через МВФ оказалось почти безрезультатным. Его кредиты были недостаточны для покрытия даже временного дефицита платежных балансов и поддержки валют.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Принцип американоцентризма, на котором была основана Бреттонвудская система, перестал соответствовать новой расстановке сил с возникновением трех мировых центров: США - Западная Европа - Япония. Использование США статуса доллара как резервной валюты для расширения своей внешнеэкономической и военно-политической экспансии, экспорта инфляции усилило межгосударственные разногласия и противоречило интересам развивающихся стран.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5. Активизация рынка евродолларов. Поскольку США покрывают дефицит своего платежного баланса национальной валютой, часть долларов перемещается в иностранные банки, способствуя развитию рынка евродолларов. Этот колоссальный рынок долларов “без родины” (750 млрд. долл., или 80% объема еврорынка, в 1981 г. против 2 млрд. долл. в 1960 г.) сыграл двоякую роль в развитии кризиса Бреттонвудской системы. Вначале он поддерживал позиции американской валюты, поглощая избыток долларов, но в 70-х годах евро-долларовые операции, ускоряя стихийное движение “горячих” денег между странами, обострили валютный кризис.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6. Дезорганизующая роль транснациональных корпораций (ТНК) в валютной сфере: ТНК располагают гигантскими краткосрочными активами в разных валютах, которые более чем вдвое превышают валютные резервы центральных банков, ускользают от национального контроля и в погоне за прибылями участвуют в валютной спекуляции, придавая ей грандиозный размах. Кроме общих, существовали специфические причины, присущие отдельным этапам развития кризиса Бреттонвудской системы.</w:t>
      </w:r>
    </w:p>
    <w:p w:rsidR="00FB35AD" w:rsidRDefault="00FB35AD">
      <w:pPr>
        <w:ind w:firstLine="567"/>
        <w:jc w:val="both"/>
        <w:rPr>
          <w:sz w:val="28"/>
        </w:rPr>
      </w:pP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Проявления кризиса Бреттонвудской валютной системы принимали следующие формы:</w:t>
      </w:r>
    </w:p>
    <w:p w:rsidR="00FB35AD" w:rsidRDefault="00FB35AD">
      <w:pPr>
        <w:ind w:firstLine="567"/>
        <w:jc w:val="both"/>
        <w:rPr>
          <w:i/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“валютная лихорадка” - перемещение “горячих” денег, массовая продажа неустойчивых валют в ожидании их девальвации и скупка валют - кандидатов на ревальвацию;</w:t>
      </w:r>
    </w:p>
    <w:p w:rsidR="00FB35AD" w:rsidRDefault="00FB35AD">
      <w:pPr>
        <w:ind w:firstLine="567"/>
        <w:jc w:val="both"/>
        <w:rPr>
          <w:i/>
          <w:sz w:val="28"/>
        </w:rPr>
      </w:pPr>
      <w:r>
        <w:rPr>
          <w:i/>
          <w:sz w:val="28"/>
        </w:rPr>
        <w:t>- “золотая лихорадка” - бегство от нестабильных валют к золоту и периодическое повышение его цены;</w:t>
      </w:r>
    </w:p>
    <w:p w:rsidR="00FB35AD" w:rsidRDefault="00FB35AD">
      <w:pPr>
        <w:ind w:firstLine="567"/>
        <w:jc w:val="both"/>
        <w:rPr>
          <w:i/>
          <w:sz w:val="28"/>
        </w:rPr>
      </w:pPr>
      <w:r>
        <w:rPr>
          <w:i/>
          <w:sz w:val="28"/>
        </w:rPr>
        <w:t>- паника на фондовых биржах и падение курсов ценных бумаг в ожидании изменения курса валют;</w:t>
      </w:r>
    </w:p>
    <w:p w:rsidR="00FB35AD" w:rsidRDefault="00FB35AD">
      <w:pPr>
        <w:ind w:firstLine="567"/>
        <w:jc w:val="both"/>
        <w:rPr>
          <w:i/>
          <w:sz w:val="28"/>
        </w:rPr>
      </w:pPr>
      <w:r>
        <w:rPr>
          <w:i/>
          <w:sz w:val="28"/>
        </w:rPr>
        <w:t>- обострение проблемы международной валютной ликвидности, особенно ее качества;</w:t>
      </w:r>
    </w:p>
    <w:p w:rsidR="00FB35AD" w:rsidRDefault="00FB35AD">
      <w:pPr>
        <w:ind w:firstLine="567"/>
        <w:jc w:val="both"/>
        <w:rPr>
          <w:i/>
          <w:sz w:val="28"/>
        </w:rPr>
      </w:pPr>
      <w:r>
        <w:rPr>
          <w:i/>
          <w:sz w:val="28"/>
        </w:rPr>
        <w:t>- массовые девальвации и ревальвации валют (официальные и неофициальные);</w:t>
      </w:r>
    </w:p>
    <w:p w:rsidR="00FB35AD" w:rsidRDefault="00FB35AD">
      <w:pPr>
        <w:ind w:firstLine="567"/>
        <w:jc w:val="both"/>
        <w:rPr>
          <w:i/>
          <w:sz w:val="28"/>
        </w:rPr>
      </w:pPr>
      <w:r>
        <w:rPr>
          <w:i/>
          <w:sz w:val="28"/>
        </w:rPr>
        <w:t>- активная валютная интервенция центральных банков, в том числе коллективная;</w:t>
      </w:r>
    </w:p>
    <w:p w:rsidR="00FB35AD" w:rsidRDefault="00FB35AD">
      <w:pPr>
        <w:ind w:firstLine="567"/>
        <w:jc w:val="both"/>
        <w:rPr>
          <w:i/>
          <w:sz w:val="28"/>
        </w:rPr>
      </w:pPr>
      <w:r>
        <w:rPr>
          <w:i/>
          <w:sz w:val="28"/>
        </w:rPr>
        <w:t>- резкие колебания официальных золотовалютных резервов;</w:t>
      </w:r>
    </w:p>
    <w:p w:rsidR="00FB35AD" w:rsidRDefault="00FB35AD">
      <w:pPr>
        <w:ind w:firstLine="567"/>
        <w:jc w:val="both"/>
        <w:rPr>
          <w:i/>
          <w:sz w:val="28"/>
        </w:rPr>
      </w:pPr>
      <w:r>
        <w:rPr>
          <w:i/>
          <w:sz w:val="28"/>
        </w:rPr>
        <w:t>- использование иностранных кредитов и заимствований в МВФ для поддержки валют;</w:t>
      </w:r>
    </w:p>
    <w:p w:rsidR="00FB35AD" w:rsidRDefault="00FB35AD">
      <w:pPr>
        <w:ind w:firstLine="567"/>
        <w:jc w:val="both"/>
        <w:rPr>
          <w:i/>
          <w:sz w:val="28"/>
        </w:rPr>
      </w:pPr>
      <w:r>
        <w:rPr>
          <w:i/>
          <w:sz w:val="28"/>
        </w:rPr>
        <w:t>- нарушение структурных принципов Бреттонвудской системы;</w:t>
      </w:r>
    </w:p>
    <w:p w:rsidR="00FB35AD" w:rsidRDefault="00FB35AD">
      <w:pPr>
        <w:ind w:firstLine="567"/>
        <w:jc w:val="both"/>
        <w:rPr>
          <w:i/>
          <w:sz w:val="28"/>
        </w:rPr>
      </w:pPr>
      <w:r>
        <w:rPr>
          <w:i/>
          <w:sz w:val="28"/>
        </w:rPr>
        <w:t>- активизация национального и межгосударственного валютного регулирования;</w:t>
      </w:r>
    </w:p>
    <w:p w:rsidR="00FB35AD" w:rsidRDefault="00FB35AD">
      <w:pPr>
        <w:ind w:firstLine="567"/>
        <w:jc w:val="both"/>
        <w:rPr>
          <w:i/>
          <w:sz w:val="28"/>
        </w:rPr>
      </w:pPr>
      <w:r>
        <w:rPr>
          <w:i/>
          <w:sz w:val="28"/>
        </w:rPr>
        <w:t>- усиление двух тенденций в международных экономических и валютных отношениях - сотрудничества и противоречий, которые периодически перерастают в торговую и валютную войны.</w:t>
      </w:r>
    </w:p>
    <w:p w:rsidR="00FB35AD" w:rsidRDefault="00FB35AD">
      <w:pPr>
        <w:ind w:firstLine="567"/>
        <w:jc w:val="both"/>
        <w:rPr>
          <w:sz w:val="28"/>
        </w:rPr>
      </w:pP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Валютный кризис развивался волнообразно, поражая то одну, то другую страну в разное время и с разной силой. Кризис Бреттонвудской системы достиг кульминационного пункта весной и летом 1971 г., когда в его эпицентре оказалась главная резервная валюта. Кризис доллара совпал с длительной депрессией в США после экономического кризиса 1969-1970 гг. Под влиянием инфляции покупательная способность доллара упала на 2/3 в середине 1971 г. по сравнению с 1934 г.. когда был установлен его золотой паритет. Совокупный дефицит платежного баланса по текущим операциям США составил 71,7 млрд. долл. за 1949-1971 гг. Краткосрочная внешняя задолженность страны увеличилась с 7,6 млрд. долл. в 1949 г. до 64,3 млрд. в 1971 г., превысив в 6,3 раза официальный золотой запас, который сократился за этот период с 24,6 млрд. до 10,2 млрд. долл.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Кризис американской валюты выразился в массовой продаже ее за золото и устойчивые валюты, падении курса. Бесконтрольно кочующие евродоллары наводнили валютные рынки Западной Европы и Японии.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Центральные банки этих стран были вынуждены скупать их для поддержания курсов своих валют в установленных МВФ пределах. Кризис доллара вызвал политическую форму выступлений стран (особенно Франции) против привилегии США. которые покрывали дефицит платежного баланса национальной валютой. Франция обменяла в казначействе США 3.5 млрд. долл. на золото в 1967-1969 гг. С конца 60-х годов конверсия доллара в золото стала фикцией: в 1970 1. 50 млрд. долларовых авуаров противостояли лишь 11 млрд. долл. официальных золотых резервов.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США приняли ряд мер по спасению Бреттонвудской системы в 60-х 1 одах.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1. Привлечение валютных ресурсов из других стран. Долларовые балансы были частично трансформированы в прямые кредиты. Были заключены соглашения об операциях “своп” (2,3 млрд. долл. - в 1965 г.. 11.3 млрд. долл. - в 1970 г.) между Федеральным резервным банком Нью-Йорка и рядом центральных иностранных банков.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2. Коллективная защита доллара. Под давлением США центральные банки большинства стран воздерживались от обмена своих долларовых резервов в золото в американском казначействе. МВФ вложил часть своих золотых запасов в доллары вопреки Уставу. Ведущие центральные банки создали золотой пул (1962 г.) для поддержки цены золота, а после его распада с 17 марта 1968 г. ввели двойной рынок золота.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3. Удвоение капитала МВФ (до 28 млрд. долл.) и генеральное соглашение 10 стран-членов Фонда и Швейцарии о займах Фонду (6 млрд. долл.). выпуск СДР в 1970 г. в целях покрытия дефицита платежных балансов.</w:t>
      </w:r>
    </w:p>
    <w:p w:rsidR="00FB35AD" w:rsidRDefault="00FB35AD">
      <w:pPr>
        <w:ind w:firstLine="567"/>
        <w:jc w:val="both"/>
        <w:rPr>
          <w:sz w:val="28"/>
        </w:rPr>
      </w:pP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США упорно сопротивлялись проведению назревшей девальвации доллара и настаивали на ревальвации валют своих торговых партнеров. В мае 1971 г. была осуществлена ревальвация швейцарского франка и австрийского шиллинга, введен плавающий курс валют ФРГ. Нидерландов, что привело к фактическому обесценению доллара на 6-8%. Скрытая девальвация устраивала США. так как она не отражалась столь губительно на престиже резервной валюты, как официальная. Чтобы сломить сопротивление торговых соперников. США перешли к политике протекционизма. 15 августа 1971 г. были объявлены чрезвычайные меры по спасению доллара: прекращен размен долларов на золото для центральных иностранных банков (“золотое эмбарго”), введена дополнительная 10%-ная импортная пошлина. США встали на путь торговой и валютной войны. Наплыв долларов в страны Западной Европы и Японию вызвал массовый переход к плавающим валютным курсам и тем самым спекулятивную атаку их окрепших валют на доллар. Франция ввела двойной валютный рынок по примеру Бельгии, где он функционировал с 1952 г. Страны Западной Европы стали, открыто выступать против привилегированного положения доллара в мировой валютной системе.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 xml:space="preserve">Поиски выхода из валютного кризиса завершились компромиссным Вашингтонским соглашением “группы десяти”. Была достигнута договоренность по следующим пунктам: 1) девальвация доллара на 7,89% и повышение официальной цены золота на 8,57% (с 35 до 38 долл. за унцию); 2) ревальвация ряда валют; 3) расширение пределов колебаний валютных курсов с </w:t>
      </w:r>
      <w:r>
        <w:rPr>
          <w:sz w:val="28"/>
        </w:rPr>
        <w:sym w:font="Times New Roman" w:char="00B1"/>
      </w:r>
      <w:r>
        <w:rPr>
          <w:sz w:val="28"/>
        </w:rPr>
        <w:t xml:space="preserve">1 до </w:t>
      </w:r>
      <w:r>
        <w:rPr>
          <w:sz w:val="28"/>
        </w:rPr>
        <w:sym w:font="Times New Roman" w:char="00B1"/>
      </w:r>
      <w:r>
        <w:rPr>
          <w:sz w:val="28"/>
        </w:rPr>
        <w:t>2,25% от их паритетов и установление центральных курсов вместо валютных паритетов; 4) отмена 10%-ной таможенной пошлины в США. Но США не взяли обязательства восстановить конвертируемость доллара в золото и участвовать в валютной интервенции. Тем самым они сохранили привилегированный статус доллара, ныне материально не подкрепленный.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Закон о девальвации доллара был подписан президентом Р. Никсоном 3 апреля и утвержден конгрессом 26 апреля 1972 г. Повышение цены золота было узаконено после регистрации нового паритета доллара в МВФ и уведомления стран-членов 8 мая 1972 г. Девальвация доллара вызвала цепную реакцию: на конец 1971 г. 96 из 118 стран - членов МВФ установили новый курс валют к доллару, причем курс 50 валют был в различной степени повышен.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 xml:space="preserve">Вашингтонское соглашение временно сгладило противоречия, но не уничтожило их. Летом 1972 г. введен плавающий курс фунта стерлингов, что означало его фактическую девальвацию на 6-8%. Это осложнило отношения Великобритании с ЕЭС поскольку она нарушила соглашение стран “Общего рынка” о сужении пределов колебаний курсов валют до </w:t>
      </w:r>
      <w:r>
        <w:rPr>
          <w:sz w:val="28"/>
        </w:rPr>
        <w:sym w:font="Times New Roman" w:char="00B1"/>
      </w:r>
      <w:r>
        <w:rPr>
          <w:sz w:val="28"/>
        </w:rPr>
        <w:t>1,125%. Великобритания была вынуждена компенсировать ущерб владельцам стерлинговых авуаров и ввести долларовую, а с апреля 1974 г. - много валютную оговорку в качестве гарантии сохранения их стоимости. Были усилены валютные ограничения, чтобы сдержать бегство капиталов за границу. Фунт стерлингов утратил статус резервной валюты.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В феврале - марте 1973 г. валютный кризис вновь обрушился на доллар. Толчком явилась неустойчивость итальянской лиры, что привело к введению в Италии двойного валютного рынка (с 22 января 1973 г. по 22 марта 1974 г.) по примеру Бельгии и Франции. “Золотая лихорадка” и повышение рыночной цены золота вновь обнажили слабость доллара. Однако в отличие от 1971 г. США не удалось добиться ревальвации валют стран Западной Европы и Японии. 12 февраля 1973 г. была проведена повторная девальвация доллара на 10% и повышена официальная цена золота на 11,1 % (с 38 до 42,22 долл. за унцию). Массовая продажа долларов привела к временному закрытию ведущих валютных рынков.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Новый консенсус - переход к плавающим валютным курсам с марта 1973 г. - выправил “курсовые перекосы” и снял напряжение на валютных рынках.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Шесть стран “Общего рынка” отменили внешние пределы согласованных колебаний курсов своих валют к доллару и другим валютам. Открепление “европейской валютной змеи” от доллара привело к возникновению своеобразной валютной зоны во главе с маркой ФРГ. Это свидетельствовало о формировании западноевропейской зоны валютной стабильности в противовес нестабильному доллару, что ускорило распад Бреттонвудской системы.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Повышение цен на нефть в конце 1973 г. привело к увеличению дефицита платежных балансов по текущим операциям промышленно развитых стран. Резко упал курс валют стран Западной Европы и Японии. Произошло временное повышение курса доллара, так как США были лучше обеспечены энергоресурсами, чем их конкуренты, и проявилось, хотя и не сразу, положительное влияние двух его девальваций на платежный баланс страны. Валютный кризис переплелся с мировым экономическим кризисом в 1974-1975 гг., что усилило колебание курсовых соотношений. Курс доллара падал на протяжении 70-х годов, за исключением кратковременных периодов его повышения. Покрывая национальной валютой дефицит текущих операций платежного баланса, США способствовали закачиванию в международный оборот долларов. В результате другие страны стали “кредиторами поневоле” по отношению к США. В XIX в. подобный валютно-финансовый метод применяла Англия, пользуясь привилегированным положением фунта стерлингов в международных валютных отношениях.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Валютный кризис, дезорганизуя экономику, затрудняя внешнюю торговлю, усиливая нестабильность валют, порождает тяжелые социально-экономические последствия. Это проявляется в увеличении безработицы, замораживании заработной платы, росте дороговизны. Ревальвация сопровождается уменьшением занятости в экспортных отраслях, а девальвация, удорожая импорт, способствует росту цен в стране. Программы валютной стабилизации сводятся в конечном счете к жесткой экономии за счет трудящихся и ориентации производства на экспорт. Центробежной тенденции, отражающей межгосударственные разногласия, противостоит тенденция к валютному сотрудничеству.</w:t>
      </w:r>
    </w:p>
    <w:p w:rsidR="00FB35AD" w:rsidRDefault="00FB35AD">
      <w:pPr>
        <w:ind w:firstLine="360"/>
        <w:rPr>
          <w:sz w:val="28"/>
          <w:lang w:val="en-US"/>
        </w:rPr>
      </w:pPr>
    </w:p>
    <w:p w:rsidR="00FB35AD" w:rsidRDefault="00FB35AD" w:rsidP="00FB35AD">
      <w:pPr>
        <w:numPr>
          <w:ilvl w:val="0"/>
          <w:numId w:val="34"/>
        </w:numPr>
        <w:jc w:val="center"/>
        <w:rPr>
          <w:b/>
          <w:i/>
          <w:sz w:val="44"/>
          <w:u w:val="single"/>
          <w:lang w:val="en-US"/>
        </w:rPr>
      </w:pPr>
      <w:r>
        <w:rPr>
          <w:b/>
          <w:i/>
          <w:sz w:val="44"/>
          <w:u w:val="single"/>
          <w:lang w:val="en-US"/>
        </w:rPr>
        <w:t xml:space="preserve">Международный рынок золота </w:t>
      </w:r>
    </w:p>
    <w:p w:rsidR="00FB35AD" w:rsidRDefault="00FB35AD">
      <w:pPr>
        <w:ind w:firstLine="360"/>
        <w:jc w:val="both"/>
        <w:rPr>
          <w:sz w:val="28"/>
          <w:lang w:val="en-US"/>
        </w:rPr>
      </w:pPr>
    </w:p>
    <w:p w:rsidR="00FB35AD" w:rsidRDefault="00FB35AD">
      <w:pPr>
        <w:keepNext/>
        <w:framePr w:dropCap="drop" w:lines="3" w:hSpace="113" w:wrap="around" w:vAnchor="text" w:hAnchor="text"/>
        <w:spacing w:line="960" w:lineRule="exact"/>
        <w:jc w:val="both"/>
        <w:rPr>
          <w:position w:val="-13"/>
          <w:sz w:val="110"/>
          <w:lang w:val="en-US"/>
        </w:rPr>
      </w:pPr>
      <w:r>
        <w:rPr>
          <w:position w:val="-13"/>
          <w:sz w:val="28"/>
        </w:rPr>
        <w:t xml:space="preserve"> </w:t>
      </w:r>
      <w:r>
        <w:rPr>
          <w:position w:val="-13"/>
          <w:sz w:val="110"/>
        </w:rPr>
        <w:t>В</w:t>
      </w:r>
    </w:p>
    <w:p w:rsidR="00FB35AD" w:rsidRDefault="00FB35AD">
      <w:pPr>
        <w:ind w:left="2268"/>
        <w:jc w:val="both"/>
        <w:rPr>
          <w:i/>
          <w:sz w:val="28"/>
        </w:rPr>
      </w:pPr>
      <w:r>
        <w:rPr>
          <w:sz w:val="28"/>
        </w:rPr>
        <w:t xml:space="preserve">структуру международных ликвидных ресурсов входят: золото, иностранные валюты, резервная позиция международного валютного фонда, </w:t>
      </w:r>
      <w:r>
        <w:rPr>
          <w:b/>
          <w:sz w:val="28"/>
        </w:rPr>
        <w:t xml:space="preserve">СДР </w:t>
      </w:r>
      <w:r>
        <w:rPr>
          <w:rFonts w:ascii="Garamond" w:hAnsi="Garamond"/>
          <w:snapToGrid w:val="0"/>
          <w:sz w:val="28"/>
        </w:rPr>
        <w:t>(</w:t>
      </w:r>
      <w:r>
        <w:rPr>
          <w:snapToGrid w:val="0"/>
          <w:sz w:val="28"/>
          <w:lang w:val="en-US"/>
        </w:rPr>
        <w:t>Special Drawing Rights</w:t>
      </w:r>
      <w:r>
        <w:rPr>
          <w:sz w:val="28"/>
        </w:rPr>
        <w:t xml:space="preserve">и), и </w:t>
      </w:r>
      <w:r>
        <w:rPr>
          <w:b/>
          <w:sz w:val="28"/>
        </w:rPr>
        <w:t>ЭКЮ</w:t>
      </w:r>
      <w:r>
        <w:rPr>
          <w:snapToGrid w:val="0"/>
          <w:sz w:val="28"/>
          <w:lang w:val="en-US"/>
        </w:rPr>
        <w:t>(European Currency Unit)</w:t>
      </w:r>
      <w:r>
        <w:rPr>
          <w:sz w:val="28"/>
        </w:rPr>
        <w:t>.</w:t>
      </w:r>
    </w:p>
    <w:p w:rsidR="00FB35AD" w:rsidRDefault="00FB35AD">
      <w:pPr>
        <w:pStyle w:val="30"/>
      </w:pPr>
      <w:r>
        <w:t>Объемы золотовалютных ресурсов, которые хранятся в Центральном банке и финансовых органах страны, дополняются валютными авуарами на счетах иностранных банков и международных и региональных валютно-кредитных и финансовых организаций, предназначенными для международных расчетов. Центральное место в международных ликвидных средствах принадлежит золотовалютным ресурсам государств. В категории валютных ресурсов лидирующее место принадлежит современным резервным валютам, которые являются свободно конвертируемыми - без ограничения обмениваемыми на любые иностранные валюты.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Значительную роль в структуре международных ликвидных средств продолжает сохранять за собой золото в качестве золотых запасов государства (в форме слитков и монет).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Долгое время различалось две цены золота - официальная и реальная.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Официальная цена золота на протяжении более 40 лет (1933-1976) фиксировалась Казначейством США. С 1944 года она была на уровне 35 долларов за 1 тройскую унцию (</w:t>
      </w:r>
      <w:r>
        <w:rPr>
          <w:b/>
          <w:sz w:val="28"/>
        </w:rPr>
        <w:t>31,1035 г</w:t>
      </w:r>
      <w:r>
        <w:rPr>
          <w:sz w:val="28"/>
        </w:rPr>
        <w:t>). После девальвации доллара в 1971 году и на сегодняшний день она составляет около 300 долларов за унцию. Изменение официальной цены золота и период существования золотовалютного стандарта в большей степени было отражением постепенного ослабления позиций доллара в мировой валютной системе и стремления западных стран проводить самостоятельную политику регулирования в валютной сфере.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В зависимости от степени государственного регулирования рынки золота делятся на четыре основные категории:</w:t>
      </w:r>
    </w:p>
    <w:p w:rsidR="00FB35AD" w:rsidRDefault="00FB35AD">
      <w:pPr>
        <w:jc w:val="both"/>
        <w:rPr>
          <w:i/>
          <w:sz w:val="28"/>
        </w:rPr>
      </w:pPr>
      <w:r>
        <w:rPr>
          <w:i/>
          <w:sz w:val="28"/>
        </w:rPr>
        <w:t>Мировые - в Лондоне, Цюрихе, Франкфурте, Чикаго, Гонконге.</w:t>
      </w:r>
    </w:p>
    <w:p w:rsidR="00FB35AD" w:rsidRDefault="00FB35AD">
      <w:pPr>
        <w:jc w:val="both"/>
        <w:rPr>
          <w:i/>
          <w:sz w:val="28"/>
        </w:rPr>
      </w:pPr>
      <w:r>
        <w:rPr>
          <w:i/>
          <w:sz w:val="28"/>
        </w:rPr>
        <w:t>Внутренние свободные - в Милане, Париже, Рио-де-Жанейро.</w:t>
      </w:r>
    </w:p>
    <w:p w:rsidR="00FB35AD" w:rsidRDefault="00FB35AD">
      <w:pPr>
        <w:jc w:val="both"/>
        <w:rPr>
          <w:i/>
          <w:sz w:val="28"/>
        </w:rPr>
      </w:pPr>
      <w:r>
        <w:rPr>
          <w:i/>
          <w:sz w:val="28"/>
        </w:rPr>
        <w:t>Местные контролируемые - в Афинах, Каире.</w:t>
      </w:r>
    </w:p>
    <w:p w:rsidR="00FB35AD" w:rsidRDefault="00FB35AD">
      <w:pPr>
        <w:jc w:val="both"/>
        <w:rPr>
          <w:i/>
          <w:sz w:val="28"/>
        </w:rPr>
      </w:pPr>
      <w:r>
        <w:rPr>
          <w:i/>
          <w:sz w:val="28"/>
        </w:rPr>
        <w:t>"Черные" рынки - в Бомбее.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Источником предложения золота на международных рынках является разработка имеющихся и новых месторождений. Основными золотодобывающими державами являются ЮАР, США, Канада, государства СНГ, Австралия. Годовая добыча золота на Западе достигает в отдельные годы 1800-2000 тонн.</w:t>
      </w:r>
    </w:p>
    <w:p w:rsidR="00FB35AD" w:rsidRDefault="00FB35AD" w:rsidP="00FB35AD">
      <w:pPr>
        <w:pStyle w:val="7"/>
        <w:numPr>
          <w:ilvl w:val="0"/>
          <w:numId w:val="35"/>
        </w:numPr>
        <w:jc w:val="left"/>
      </w:pPr>
      <w:r>
        <w:t>Лондонский рынок золота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keepNext/>
        <w:framePr w:dropCap="drop" w:lines="3" w:hSpace="113" w:wrap="around" w:vAnchor="text" w:hAnchor="text"/>
        <w:spacing w:line="960" w:lineRule="exact"/>
        <w:jc w:val="both"/>
        <w:rPr>
          <w:position w:val="-13"/>
          <w:sz w:val="110"/>
        </w:rPr>
      </w:pPr>
      <w:r>
        <w:rPr>
          <w:position w:val="-13"/>
          <w:sz w:val="110"/>
        </w:rPr>
        <w:t>В</w:t>
      </w:r>
    </w:p>
    <w:p w:rsidR="00FB35AD" w:rsidRDefault="00FB35AD">
      <w:pPr>
        <w:jc w:val="both"/>
        <w:rPr>
          <w:i/>
          <w:sz w:val="28"/>
        </w:rPr>
      </w:pPr>
      <w:r>
        <w:rPr>
          <w:sz w:val="28"/>
        </w:rPr>
        <w:t>своей настоящей форме этот рынок существует с 1919 года. Основным его участником остается тот же, что и раньше, клуб "фирм" - золотые брокеры Лондона (</w:t>
      </w:r>
      <w:r>
        <w:rPr>
          <w:i/>
          <w:sz w:val="28"/>
        </w:rPr>
        <w:t>London Bullion Brokers</w:t>
      </w:r>
      <w:r>
        <w:rPr>
          <w:sz w:val="28"/>
        </w:rPr>
        <w:t xml:space="preserve">). В их число входят: </w:t>
      </w:r>
      <w:r>
        <w:rPr>
          <w:i/>
          <w:sz w:val="28"/>
        </w:rPr>
        <w:t>N.M.Rotshild and Sons, Samuel Montague, Republic Mays London, Standart Chartered Bank, Mocatta Group, Deutsche Sharps Picksley.</w:t>
      </w:r>
    </w:p>
    <w:p w:rsidR="00FB35AD" w:rsidRDefault="00FB35AD">
      <w:pPr>
        <w:pStyle w:val="30"/>
      </w:pPr>
      <w:r>
        <w:t>Именно на Лондонском золотом рынке сформировалась процедура фиксинга, которая проводится с 1919 года дважды в день.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Цены Лондонского рынка считаются наиболее представительными и используются в качестве справочной базы для различного рода расчетов, сравнении, закладываются в долгосрочные контракты. Объектом торговли на фиксинге являются стандартизированные слитки ("</w:t>
      </w:r>
      <w:r>
        <w:rPr>
          <w:i/>
          <w:sz w:val="28"/>
        </w:rPr>
        <w:t>good-delivery-bars</w:t>
      </w:r>
      <w:r>
        <w:rPr>
          <w:sz w:val="28"/>
        </w:rPr>
        <w:t>"). Каждый слиток должен иметь серийный номер, отметку о пробе (чистоте), штамп изготовителя.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Достаточно долгое время Лондонский золотой рынок являлся рынком для нерезидентов, так как согласно Акту валютного контроля резиденты Великобритании не имели права приобретать золото, а профессиональные дилеры должны были получить лицензию у Банка Англии.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В октябре 1979 года правительство, возглавляемое М.Тетчер, сняло эти ограничения. Однако это решение было несколько запоздавшим, поскольку быстро развивались рынки в США и Швейцарии, дававшие возможность использовать в операциях с золотом современные производные финансовые инструменты.</w:t>
      </w:r>
    </w:p>
    <w:p w:rsidR="00FB35AD" w:rsidRDefault="00FB35AD" w:rsidP="00FB35AD">
      <w:pPr>
        <w:pStyle w:val="7"/>
        <w:numPr>
          <w:ilvl w:val="0"/>
          <w:numId w:val="36"/>
        </w:numPr>
        <w:jc w:val="left"/>
      </w:pPr>
      <w:r>
        <w:t>Рынок золота в Цюрихе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keepNext/>
        <w:framePr w:dropCap="drop" w:lines="3" w:hSpace="113" w:wrap="around" w:vAnchor="text" w:hAnchor="text"/>
        <w:spacing w:line="960" w:lineRule="exact"/>
        <w:jc w:val="both"/>
        <w:rPr>
          <w:position w:val="-13"/>
          <w:sz w:val="110"/>
        </w:rPr>
      </w:pPr>
      <w:r>
        <w:rPr>
          <w:position w:val="-13"/>
          <w:sz w:val="110"/>
        </w:rPr>
        <w:t>К</w:t>
      </w:r>
    </w:p>
    <w:p w:rsidR="00FB35AD" w:rsidRDefault="00FB35AD">
      <w:pPr>
        <w:pStyle w:val="30"/>
      </w:pPr>
      <w:r>
        <w:t xml:space="preserve">рупнейшим центром торговли золотом в 70-х годах стал Цюрих. С начала 80-х годов Швейцария импортировала в среднем от 1200 до 1400 тонн золота в год, а экспортировала от 100 до 1200 тонн. Отсюда видно, что только относительно небольшая часть драгоценного металла остается в стране. Золото используется в национальной часовой и ювелирной промышленности в скромных объемах: около 25 тонн. О большой роли Цюриха как европейского центра торговли свидетельствует то, что золотой импорт Швейцарии составляет 70% золота, добываемого в западных странах, из которых 60% затем реэкспортируется в различные регионы мира. С начала 80-х годов Цюрих стал мировым рынком золота, через который проходит почти половина мирового промышленного спроса на золото. Швейцария импортирует около 40% общего предложения золота в мире. 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Маркет-мейкерами цюрихского рынка является "большая тройка" банков (</w:t>
      </w:r>
      <w:r>
        <w:rPr>
          <w:i/>
          <w:sz w:val="28"/>
        </w:rPr>
        <w:t>UBS+SBC, Credit Swiss</w:t>
      </w:r>
      <w:r>
        <w:rPr>
          <w:sz w:val="28"/>
        </w:rPr>
        <w:t>), которые очень быстро адаптировались к новым рыночным условиям и изменениям в требованиях своих клиентов. Этим банкам принадлежит крупная брокерская фирма Premex AG, совершающая не только сделки спот, но и работающая на форвардном и опционном рынках.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Банки "большой тройки" относятся к инновационным банкам мира, к тем, которые осуществляют очень широкий круг наиболее современных операций с золотом.</w:t>
      </w:r>
    </w:p>
    <w:p w:rsidR="00FB35AD" w:rsidRDefault="00FB35AD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Примером может служить перечень таких операций, предоставляемый банком Credit Swiss своим клиентам: 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продажа спот на металлические счета;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покупка спот, физическая поставка золота;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срочные операции (форвардные и опционные), сделки своп;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предоставление ссуд под залог золота;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структурированные по заказу сделки на короткие и длительные сроки исполнения;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сделки своп по местонахождению металла;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счета (металлические), с отсрочкой налоговых платежей;</w:t>
      </w:r>
    </w:p>
    <w:p w:rsidR="00FB35AD" w:rsidRDefault="00FB35AD">
      <w:pPr>
        <w:jc w:val="center"/>
        <w:rPr>
          <w:i/>
          <w:sz w:val="28"/>
        </w:rPr>
      </w:pPr>
      <w:r>
        <w:rPr>
          <w:i/>
          <w:sz w:val="28"/>
        </w:rPr>
        <w:t>аффинаж, плавка, конечная обработка золота из полуфабрикатов.</w:t>
      </w:r>
    </w:p>
    <w:p w:rsidR="00FB35AD" w:rsidRDefault="00FB35AD">
      <w:pPr>
        <w:ind w:firstLine="567"/>
        <w:jc w:val="both"/>
        <w:rPr>
          <w:sz w:val="28"/>
        </w:rPr>
      </w:pPr>
      <w:r>
        <w:rPr>
          <w:sz w:val="28"/>
        </w:rPr>
        <w:t>Преимуществом швейцарских банков перед другими является их широкое присутствие на мировых рынках золота в различных регионах мира. Они представлены на рынках драг металлов в Европе (</w:t>
      </w:r>
      <w:r>
        <w:rPr>
          <w:i/>
          <w:sz w:val="28"/>
        </w:rPr>
        <w:t>Женеве, Цюрихе, Лондоне</w:t>
      </w:r>
      <w:r>
        <w:rPr>
          <w:sz w:val="28"/>
        </w:rPr>
        <w:t>), в США (</w:t>
      </w:r>
      <w:r>
        <w:rPr>
          <w:i/>
          <w:sz w:val="28"/>
        </w:rPr>
        <w:t>Нью-Йорк</w:t>
      </w:r>
      <w:r>
        <w:rPr>
          <w:sz w:val="28"/>
        </w:rPr>
        <w:t>), на Дальнем Востоке (</w:t>
      </w:r>
      <w:r>
        <w:rPr>
          <w:i/>
          <w:sz w:val="28"/>
        </w:rPr>
        <w:t>Токио, Сингапур, Гонконг</w:t>
      </w:r>
      <w:r>
        <w:rPr>
          <w:sz w:val="28"/>
        </w:rPr>
        <w:t>), в Австралии (</w:t>
      </w:r>
      <w:r>
        <w:rPr>
          <w:i/>
          <w:sz w:val="28"/>
        </w:rPr>
        <w:t>Мельбурн</w:t>
      </w:r>
      <w:r>
        <w:rPr>
          <w:sz w:val="28"/>
        </w:rPr>
        <w:t>). Это позволяет им осуществлять 24-часовое присутствие на международном рынке золота, совершая операции с физическим золотом и с "бумажным" металлом. Клиентам предлагаются различные по размеру золотые слитки и широкий спектр операций, включая сложные производные финансовые инструменты.</w:t>
      </w:r>
    </w:p>
    <w:p w:rsidR="00FB35AD" w:rsidRDefault="00FB35AD">
      <w:pPr>
        <w:ind w:firstLine="567"/>
        <w:jc w:val="both"/>
        <w:rPr>
          <w:sz w:val="28"/>
        </w:rPr>
      </w:pPr>
    </w:p>
    <w:p w:rsidR="00FB35AD" w:rsidRDefault="00FB35AD" w:rsidP="00FB35AD">
      <w:pPr>
        <w:pStyle w:val="7"/>
        <w:numPr>
          <w:ilvl w:val="0"/>
          <w:numId w:val="37"/>
        </w:numPr>
        <w:jc w:val="left"/>
      </w:pPr>
      <w:r>
        <w:t>Рынок золота в США</w:t>
      </w:r>
    </w:p>
    <w:p w:rsidR="00FB35AD" w:rsidRDefault="00FB35AD">
      <w:pPr>
        <w:jc w:val="both"/>
        <w:rPr>
          <w:position w:val="-13"/>
          <w:sz w:val="28"/>
        </w:rPr>
      </w:pPr>
    </w:p>
    <w:p w:rsidR="00FB35AD" w:rsidRDefault="00FB35AD">
      <w:pPr>
        <w:keepNext/>
        <w:framePr w:dropCap="drop" w:lines="3" w:hSpace="113" w:wrap="around" w:vAnchor="text" w:hAnchor="text"/>
        <w:spacing w:line="960" w:lineRule="exact"/>
        <w:jc w:val="both"/>
        <w:rPr>
          <w:position w:val="-13"/>
          <w:sz w:val="110"/>
        </w:rPr>
      </w:pPr>
      <w:r>
        <w:rPr>
          <w:position w:val="-13"/>
          <w:sz w:val="110"/>
        </w:rPr>
        <w:t>Д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емонетизация золота в 70-х годах сделала возможной отмену просуществовавшего в течение 40 лет Акта золотого запрета, в соответствии, с которым граждане США не имели права на частное владение золотом в слитковой форме. Либерализация торговли золотом привела к быстрому превращению Нью-йоркской Товарной Биржи (</w:t>
      </w:r>
      <w:r>
        <w:rPr>
          <w:i/>
          <w:sz w:val="28"/>
        </w:rPr>
        <w:t xml:space="preserve">Commodity Exchange - </w:t>
      </w:r>
      <w:r>
        <w:rPr>
          <w:b/>
          <w:i/>
          <w:sz w:val="28"/>
        </w:rPr>
        <w:t>COMEX</w:t>
      </w:r>
      <w:r>
        <w:rPr>
          <w:sz w:val="28"/>
        </w:rPr>
        <w:t>) и Международного Валютного Рынка (</w:t>
      </w:r>
      <w:r>
        <w:rPr>
          <w:i/>
          <w:sz w:val="28"/>
        </w:rPr>
        <w:t xml:space="preserve">International Money Market - </w:t>
      </w:r>
      <w:r>
        <w:rPr>
          <w:b/>
          <w:i/>
          <w:sz w:val="28"/>
        </w:rPr>
        <w:t>IMM</w:t>
      </w:r>
      <w:r>
        <w:rPr>
          <w:sz w:val="28"/>
        </w:rPr>
        <w:t xml:space="preserve">) Чикагской Товарной </w:t>
      </w:r>
      <w:r>
        <w:rPr>
          <w:i/>
          <w:sz w:val="28"/>
        </w:rPr>
        <w:t xml:space="preserve">Биржи (Chicago Mercantile Exchange - </w:t>
      </w:r>
      <w:r>
        <w:rPr>
          <w:b/>
          <w:i/>
          <w:sz w:val="28"/>
        </w:rPr>
        <w:t>CME</w:t>
      </w:r>
      <w:r>
        <w:rPr>
          <w:sz w:val="28"/>
        </w:rPr>
        <w:t>) в крупнейшие центры торговли золотыми фьючерсными контрактами. Именно в этих центрах заключается более 90% всех фьючерсных контрактов на поставку  золота.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Наряду с фьючерсной биржевой торговлей золотом в Нью-Йорке существует рынок золота в слитковой форме, откуда оптовые дилеры поставляют золото производственным и коммерческим потребителям.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В торговле золотом в последнее десятилетие наряду с биржами принимают участие ведущие американские банки, являющиеся в настоящее время маркет-мейкерами на международном рынке золота, такие как: Дж.Р.Морган, Дж.Арон энд К</w:t>
      </w:r>
      <w:r>
        <w:rPr>
          <w:sz w:val="28"/>
          <w:vertAlign w:val="superscript"/>
        </w:rPr>
        <w:t>о</w:t>
      </w:r>
      <w:r>
        <w:rPr>
          <w:sz w:val="28"/>
        </w:rPr>
        <w:t xml:space="preserve">. Особенностью этих рынков является широкое распространение сделок преимущественно венчурного характера. К ним относятся срочные сделки (форвардные и фьючерсные), которые заключаются на </w:t>
      </w:r>
      <w:r>
        <w:rPr>
          <w:b/>
          <w:sz w:val="28"/>
        </w:rPr>
        <w:t>1, 3, 6</w:t>
      </w:r>
      <w:r>
        <w:rPr>
          <w:sz w:val="28"/>
        </w:rPr>
        <w:t xml:space="preserve"> месяцев и исполнение которых осуществляется по цене, зафиксированной в момент заключения сделки. Сумма контракта строго определена объемом в </w:t>
      </w:r>
      <w:r>
        <w:rPr>
          <w:b/>
          <w:sz w:val="28"/>
        </w:rPr>
        <w:t>100 унций</w:t>
      </w:r>
      <w:r>
        <w:rPr>
          <w:sz w:val="28"/>
        </w:rPr>
        <w:t>.</w:t>
      </w:r>
    </w:p>
    <w:p w:rsidR="00FB35AD" w:rsidRDefault="00FB35AD">
      <w:pPr>
        <w:pStyle w:val="7"/>
      </w:pPr>
    </w:p>
    <w:p w:rsidR="00FB35AD" w:rsidRDefault="00FB35AD"/>
    <w:p w:rsidR="00FB35AD" w:rsidRDefault="00FB35AD" w:rsidP="00FB35AD">
      <w:pPr>
        <w:pStyle w:val="7"/>
        <w:numPr>
          <w:ilvl w:val="0"/>
          <w:numId w:val="38"/>
        </w:numPr>
        <w:jc w:val="left"/>
      </w:pPr>
      <w:r>
        <w:t>Прочие рынки золота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pStyle w:val="5"/>
        <w:framePr w:dropCap="drop" w:lines="0" w:wrap="around"/>
        <w:rPr>
          <w:position w:val="-11"/>
        </w:rPr>
      </w:pPr>
      <w:r>
        <w:rPr>
          <w:position w:val="-11"/>
        </w:rPr>
        <w:t>Ц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ентром опционной торговли стала Канадская золотая биржа. С конца 80-х интенсивно совершаются операции с золотом на Гонконгском рынке, где имеют представительства крупные золотые дилеры из Цюриха, Лондона, Нью-Йорка и Франкфурта. С 1980 года Товарная биржа Гонконга начала осуществлять торговлю фьючерсными контрактами.</w:t>
      </w:r>
    </w:p>
    <w:p w:rsidR="00FB35AD" w:rsidRDefault="00FB35AD">
      <w:pPr>
        <w:pStyle w:val="30"/>
      </w:pPr>
      <w:r>
        <w:t>Среди местных контролируемых рынков выделяется рынок золота в Саудовской Аравии, который обеспечивает сырьем ювелирную промышленность за счет импорта: например, в 1993 году было закуплено 100 тонн золота.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На местный золотой рынок Индии в 1993 году поступило 257 тонн вновь добытого золота, что составляет 11% общемировой добычи.</w:t>
      </w:r>
    </w:p>
    <w:p w:rsidR="00FB35AD" w:rsidRDefault="00FB35AD">
      <w:pPr>
        <w:jc w:val="both"/>
        <w:rPr>
          <w:sz w:val="28"/>
          <w:lang w:val="en-US"/>
        </w:rPr>
      </w:pPr>
    </w:p>
    <w:p w:rsidR="00FB35AD" w:rsidRDefault="00FB35AD" w:rsidP="00FB35AD">
      <w:pPr>
        <w:pStyle w:val="6"/>
        <w:numPr>
          <w:ilvl w:val="0"/>
          <w:numId w:val="39"/>
        </w:numPr>
        <w:tabs>
          <w:tab w:val="clear" w:pos="360"/>
          <w:tab w:val="num" w:pos="870"/>
        </w:tabs>
        <w:ind w:left="870"/>
        <w:jc w:val="left"/>
      </w:pPr>
      <w:r>
        <w:t>ВЕДУЩИЕ МИРОВЫЕ БИРЖИ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AMEX</w:t>
      </w:r>
      <w:r>
        <w:rPr>
          <w:sz w:val="28"/>
        </w:rPr>
        <w:t xml:space="preserve"> - American Stock Exchange, Derivative Securities, 86 Trinity Place, New York, NY 10006, US, Tel: (212) 306-1000, Fax: (212) 306-1802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BSE</w:t>
      </w:r>
      <w:r>
        <w:rPr>
          <w:sz w:val="28"/>
        </w:rPr>
        <w:t xml:space="preserve"> - Boston Stock Exchange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CBOE</w:t>
      </w:r>
      <w:r>
        <w:rPr>
          <w:sz w:val="28"/>
        </w:rPr>
        <w:t xml:space="preserve"> - Chicago Board Options Exchange, 400 S. LaSalle St., Chicago, IL 60605, US, Tel: (312) 786-5600/(800) 678-4667, Fax: (312) 786-7409/ (312) 786-7413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CBOT</w:t>
      </w:r>
      <w:r>
        <w:rPr>
          <w:sz w:val="28"/>
        </w:rPr>
        <w:t xml:space="preserve"> - Chicago Board of Trade, 141 W Jackson Blvd, Chicago, IL 60604-2994, US,   Tel: (312) 435-3500, Fax: (312) 341-3306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CHX</w:t>
      </w:r>
      <w:r>
        <w:rPr>
          <w:sz w:val="28"/>
        </w:rPr>
        <w:t xml:space="preserve"> - Chicago Stock Exchange, One Financial Place, 440 S. LaSalle St., Chicago, IL 60605-1070, US Tel: (312) 663-222, Fax: (312) 773-2396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CME</w:t>
      </w:r>
      <w:r>
        <w:rPr>
          <w:sz w:val="28"/>
        </w:rPr>
        <w:t xml:space="preserve"> - Chicago Mercantile Exchange, 30 S. Wacker Drive. Chicago, IL 60606, US,  Tel: (312) 930-1000, Fax: (312) 930-3439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CSCE</w:t>
      </w:r>
      <w:r>
        <w:rPr>
          <w:sz w:val="28"/>
        </w:rPr>
        <w:t xml:space="preserve"> - Coffee, Sugar &amp; Cocoa Exchange Inc., Four World Trade Center, New York, NY 10048, US, Tel: (212) 938-2800/(800) 433-4348, Fax: (212) 524-9863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CRCE</w:t>
      </w:r>
      <w:r>
        <w:rPr>
          <w:sz w:val="28"/>
        </w:rPr>
        <w:t xml:space="preserve"> - Chicago Rice &amp; Cotton Exchange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CSE</w:t>
      </w:r>
      <w:r>
        <w:rPr>
          <w:sz w:val="28"/>
        </w:rPr>
        <w:t xml:space="preserve"> - Cincinnati Stock Exchange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COMEX</w:t>
      </w:r>
      <w:r>
        <w:rPr>
          <w:sz w:val="28"/>
        </w:rPr>
        <w:t xml:space="preserve"> - Commodity Exchange Inc.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DTB</w:t>
      </w:r>
      <w:r>
        <w:rPr>
          <w:sz w:val="28"/>
        </w:rPr>
        <w:t xml:space="preserve"> - Deutsche Terminburse, 60284 Frankfurt, Boersenplatz 7-11, D-60313 Frankfurt, Germany, Tel: 49-69-2101-0, Fax: 49-69-29977-455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IPE</w:t>
      </w:r>
      <w:r>
        <w:rPr>
          <w:sz w:val="28"/>
        </w:rPr>
        <w:t xml:space="preserve"> - International Petroleum Exchange of London, International House, 1 St. Katharine's Way, London EI 9UN, UK, Tel: 44-171-481-0643, Fax: 44-171-481-8485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KBOT</w:t>
      </w:r>
      <w:r>
        <w:rPr>
          <w:sz w:val="28"/>
        </w:rPr>
        <w:t xml:space="preserve"> - Kansas City Board of Trade, 4800 Main St., Suite 303, Kansas City, MO 64112, US, Tel: (816) 753-7500/(800) 821-5228, Fax: (816) 753-3944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LCE</w:t>
      </w:r>
      <w:r>
        <w:rPr>
          <w:sz w:val="28"/>
        </w:rPr>
        <w:t xml:space="preserve"> - London Commodity Exchange, 1 Commodity Quay, St. Katharine Docks, London E1 9AX, UK, Tel: 44-171-481-2080, Fax: 44-171-702-9923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LIFFE</w:t>
      </w:r>
      <w:r>
        <w:rPr>
          <w:sz w:val="28"/>
        </w:rPr>
        <w:t xml:space="preserve"> - London International Financial Futures Exchange, Cannon Bridge, London EC4R 3XX, UK, Tel: 44-171-623-0444, Fax: 44-171-588-3624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LME</w:t>
      </w:r>
      <w:r>
        <w:rPr>
          <w:sz w:val="28"/>
        </w:rPr>
        <w:t xml:space="preserve"> - London Metal Exchange, 56 Leadenhall St., London EC3A 2BJ, UK, Tel: 44-171-264-5555, Fax: 44-171-680-0505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OMLX</w:t>
      </w:r>
      <w:r>
        <w:rPr>
          <w:sz w:val="28"/>
        </w:rPr>
        <w:t xml:space="preserve"> - The London Securities and Derivatives Exchange, 107 Cannon St., London EC4N 5AD, UK, Tel: 44-171-283-0678, Fax: 44-171-815-8508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LGFM</w:t>
      </w:r>
      <w:r>
        <w:rPr>
          <w:sz w:val="28"/>
        </w:rPr>
        <w:t xml:space="preserve"> - The London Gold Futures Market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NYCE</w:t>
      </w:r>
      <w:r>
        <w:rPr>
          <w:sz w:val="28"/>
        </w:rPr>
        <w:t xml:space="preserve"> - New York Cotton Exchange, 4 World Trade Center, New York, NY 10048, US, Tel: (212) 938-2702, Fax: (212) 488-8135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NYFE</w:t>
      </w:r>
      <w:r>
        <w:rPr>
          <w:sz w:val="28"/>
        </w:rPr>
        <w:t xml:space="preserve"> - New York Futures Exchange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NYMEX</w:t>
      </w:r>
      <w:r>
        <w:rPr>
          <w:sz w:val="28"/>
        </w:rPr>
        <w:t xml:space="preserve"> - New York Mercantile Exchange, 4 World Trade Center, New York, NY 10048, US, Tel: (212) 938-222, Fax: (212) 938-2985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NYSE</w:t>
      </w:r>
      <w:r>
        <w:rPr>
          <w:sz w:val="28"/>
        </w:rPr>
        <w:t xml:space="preserve"> - New York Stock Exchange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SOFFEX</w:t>
      </w:r>
      <w:r>
        <w:rPr>
          <w:sz w:val="28"/>
        </w:rPr>
        <w:t xml:space="preserve"> - Swiss Options &amp; Financial Futures Exchange, Selnaustrasse 32, CH-8021 Zurich, Switzerland, Tel: 41-1-229-2111, Fax: 41-1-229-2233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TOKYO STOCK EXCHANGE</w:t>
      </w:r>
      <w:r>
        <w:rPr>
          <w:sz w:val="28"/>
        </w:rPr>
        <w:t>, 2-1 Nihombashi-Kabuto-Cho, Chuo-ku, Tokyo 103, Japan, Tel: 81-3-3666-0141, Fax: 81-303663-0625</w:t>
      </w:r>
    </w:p>
    <w:p w:rsidR="00FB35AD" w:rsidRDefault="00FB35AD">
      <w:pPr>
        <w:ind w:left="510"/>
        <w:jc w:val="both"/>
        <w:rPr>
          <w:sz w:val="28"/>
        </w:rPr>
      </w:pPr>
      <w:r>
        <w:rPr>
          <w:b/>
          <w:sz w:val="28"/>
        </w:rPr>
        <w:t>TIFFE</w:t>
      </w:r>
      <w:r>
        <w:rPr>
          <w:sz w:val="28"/>
        </w:rPr>
        <w:t xml:space="preserve"> - Tokyo International Financial Futures Exchange, 1-3-1 Marunouchi, Chiyoda-ku, Tokyo 100, Japan, Tel: 81-3-5223-2400, Fax: 81-3-5223-2450</w:t>
      </w:r>
    </w:p>
    <w:p w:rsidR="00FB35AD" w:rsidRDefault="00FB35AD">
      <w:pPr>
        <w:jc w:val="right"/>
        <w:rPr>
          <w:rFonts w:ascii="Courier New" w:hAnsi="Courier New"/>
          <w:sz w:val="24"/>
        </w:rPr>
      </w:pPr>
    </w:p>
    <w:p w:rsidR="00FB35AD" w:rsidRDefault="00FB35AD">
      <w:pPr>
        <w:jc w:val="both"/>
        <w:rPr>
          <w:sz w:val="28"/>
        </w:rPr>
      </w:pPr>
    </w:p>
    <w:p w:rsidR="00FB35AD" w:rsidRDefault="00FB35AD" w:rsidP="00FB35AD">
      <w:pPr>
        <w:pStyle w:val="1"/>
        <w:numPr>
          <w:ilvl w:val="0"/>
          <w:numId w:val="40"/>
        </w:numPr>
        <w:tabs>
          <w:tab w:val="clear" w:pos="360"/>
          <w:tab w:val="num" w:pos="870"/>
        </w:tabs>
        <w:spacing w:line="360" w:lineRule="auto"/>
        <w:ind w:left="870"/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>Международные организации и их разновидности</w:t>
      </w:r>
    </w:p>
    <w:p w:rsidR="00FB35AD" w:rsidRDefault="00FB35AD">
      <w:pPr>
        <w:pStyle w:val="5"/>
        <w:framePr w:dropCap="drop" w:lines="0" w:wrap="around"/>
        <w:spacing w:before="64" w:line="936" w:lineRule="exact"/>
        <w:rPr>
          <w:snapToGrid w:val="0"/>
          <w:position w:val="-12"/>
        </w:rPr>
      </w:pPr>
      <w:r>
        <w:rPr>
          <w:snapToGrid w:val="0"/>
          <w:position w:val="-12"/>
        </w:rPr>
        <w:t>О</w:t>
      </w:r>
    </w:p>
    <w:p w:rsidR="00FB35AD" w:rsidRDefault="00FB35AD">
      <w:pPr>
        <w:widowControl w:val="0"/>
        <w:spacing w:before="60"/>
        <w:jc w:val="both"/>
        <w:rPr>
          <w:snapToGrid w:val="0"/>
          <w:sz w:val="28"/>
        </w:rPr>
      </w:pPr>
      <w:r>
        <w:rPr>
          <w:snapToGrid w:val="0"/>
          <w:sz w:val="28"/>
        </w:rPr>
        <w:t>дной из форм многостороннего сотрудничества между государствами являются международные организации и фонды. Они объединяют государства, национальные институты, общества, ассоциация неправительственного характера для достижения общей цели в области политики, экономики, социальной, научно-технической, культуры и др. Международные организации формируют свои фонды</w:t>
      </w:r>
      <w:r>
        <w:rPr>
          <w:noProof/>
          <w:snapToGrid w:val="0"/>
          <w:sz w:val="28"/>
        </w:rPr>
        <w:t xml:space="preserve"> с </w:t>
      </w:r>
      <w:r>
        <w:rPr>
          <w:snapToGrid w:val="0"/>
          <w:sz w:val="28"/>
        </w:rPr>
        <w:t>целью многосторонней координации деятельности участвующих</w:t>
      </w:r>
      <w:r>
        <w:rPr>
          <w:noProof/>
          <w:snapToGrid w:val="0"/>
          <w:sz w:val="28"/>
        </w:rPr>
        <w:t xml:space="preserve"> </w:t>
      </w:r>
      <w:r>
        <w:rPr>
          <w:snapToGrid w:val="0"/>
          <w:sz w:val="28"/>
        </w:rPr>
        <w:t>сторон. Создаются межгосударственные целевые фонды денежных средств на основе межгосударственных соглашений для осуществления единой валютно-финансовой и кредитной политики стран-участниц.</w:t>
      </w:r>
    </w:p>
    <w:p w:rsidR="00FB35AD" w:rsidRDefault="00FB35AD">
      <w:pPr>
        <w:widowControl w:val="0"/>
        <w:spacing w:before="6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Международные организации делятся на несколько типов по способу формирования доходов и характеру функционирования. </w:t>
      </w:r>
    </w:p>
    <w:p w:rsidR="00FB35AD" w:rsidRDefault="00FB35AD">
      <w:pPr>
        <w:widowControl w:val="0"/>
        <w:spacing w:before="60"/>
        <w:ind w:firstLine="567"/>
        <w:jc w:val="both"/>
        <w:rPr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К </w:t>
      </w:r>
      <w:r>
        <w:rPr>
          <w:b/>
          <w:i/>
          <w:snapToGrid w:val="0"/>
          <w:sz w:val="28"/>
          <w:u w:val="single"/>
        </w:rPr>
        <w:t>первому типу</w:t>
      </w:r>
      <w:r>
        <w:rPr>
          <w:b/>
          <w:i/>
          <w:snapToGrid w:val="0"/>
          <w:sz w:val="28"/>
        </w:rPr>
        <w:t xml:space="preserve"> относятся</w:t>
      </w:r>
      <w:r>
        <w:rPr>
          <w:i/>
          <w:snapToGrid w:val="0"/>
          <w:sz w:val="28"/>
        </w:rPr>
        <w:t xml:space="preserve"> </w:t>
      </w:r>
      <w:r>
        <w:rPr>
          <w:b/>
          <w:i/>
          <w:snapToGrid w:val="0"/>
          <w:sz w:val="28"/>
        </w:rPr>
        <w:t>межгосударственные и международные фонды финансово-кредитных организаций</w:t>
      </w:r>
      <w:r>
        <w:rPr>
          <w:i/>
          <w:snapToGrid w:val="0"/>
          <w:sz w:val="28"/>
        </w:rPr>
        <w:t xml:space="preserve">. </w:t>
      </w:r>
    </w:p>
    <w:p w:rsidR="00FB35AD" w:rsidRDefault="00FB35AD">
      <w:pPr>
        <w:widowControl w:val="0"/>
        <w:spacing w:before="60"/>
        <w:jc w:val="both"/>
        <w:rPr>
          <w:snapToGrid w:val="0"/>
          <w:sz w:val="28"/>
          <w:lang w:val="en-US"/>
        </w:rPr>
      </w:pPr>
      <w:r>
        <w:rPr>
          <w:snapToGrid w:val="0"/>
          <w:sz w:val="28"/>
        </w:rPr>
        <w:t>Они функционируют на основе уставного капитала с долевым участием вкладчиков, предоставляя им целевые кредиты и создавая целевые фонды. В результате своей деятельности эти организации получают доходы, которые распределяются на выплату</w:t>
      </w:r>
      <w:r>
        <w:rPr>
          <w:snapToGrid w:val="0"/>
          <w:sz w:val="28"/>
          <w:lang w:val="en-US"/>
        </w:rPr>
        <w:t xml:space="preserve"> </w:t>
      </w:r>
      <w:r>
        <w:rPr>
          <w:snapToGrid w:val="0"/>
          <w:sz w:val="28"/>
        </w:rPr>
        <w:t>дивидендов по вкладам, формирование целевых и резервных фондов.</w:t>
      </w:r>
    </w:p>
    <w:p w:rsidR="00FB35AD" w:rsidRDefault="00FB35AD">
      <w:pPr>
        <w:widowControl w:val="0"/>
        <w:spacing w:before="6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К этому типу организаций относятся Международный инвестиционный банк (МИБ), Международный банк экономического сотрудничества (МВЭС),(МБРР), Международный валютный фонд (МВФ). Роль финансов</w:t>
      </w:r>
      <w:r>
        <w:rPr>
          <w:noProof/>
          <w:snapToGrid w:val="0"/>
          <w:sz w:val="28"/>
        </w:rPr>
        <w:t xml:space="preserve"> </w:t>
      </w:r>
      <w:r>
        <w:rPr>
          <w:snapToGrid w:val="0"/>
          <w:sz w:val="28"/>
        </w:rPr>
        <w:t>в функционировании международных банков и фондов заключается</w:t>
      </w:r>
      <w:r>
        <w:rPr>
          <w:snapToGrid w:val="0"/>
          <w:sz w:val="28"/>
          <w:lang w:val="en-US"/>
        </w:rPr>
        <w:t xml:space="preserve"> </w:t>
      </w:r>
      <w:r>
        <w:rPr>
          <w:snapToGrid w:val="0"/>
          <w:sz w:val="28"/>
        </w:rPr>
        <w:t>в том, что с их помощью осуществляется мобилизация средств уставного капитала и в процессе функционирования распределяется</w:t>
      </w:r>
      <w:r>
        <w:rPr>
          <w:snapToGrid w:val="0"/>
          <w:sz w:val="28"/>
          <w:lang w:val="en-US"/>
        </w:rPr>
        <w:t xml:space="preserve">  </w:t>
      </w:r>
      <w:r>
        <w:rPr>
          <w:snapToGrid w:val="0"/>
          <w:sz w:val="28"/>
        </w:rPr>
        <w:t>выручка и прибыль, формируются фонды банков. Источниками</w:t>
      </w:r>
      <w:r>
        <w:rPr>
          <w:noProof/>
          <w:snapToGrid w:val="0"/>
          <w:sz w:val="28"/>
        </w:rPr>
        <w:t xml:space="preserve">  </w:t>
      </w:r>
      <w:r>
        <w:rPr>
          <w:snapToGrid w:val="0"/>
          <w:sz w:val="28"/>
        </w:rPr>
        <w:t>паевых взносов являются средства национальных и международных</w:t>
      </w:r>
      <w:r>
        <w:rPr>
          <w:snapToGrid w:val="0"/>
          <w:sz w:val="28"/>
          <w:lang w:val="en-US"/>
        </w:rPr>
        <w:t xml:space="preserve"> </w:t>
      </w:r>
      <w:r>
        <w:rPr>
          <w:snapToGrid w:val="0"/>
          <w:sz w:val="28"/>
        </w:rPr>
        <w:t>финансово-кредитных институтов международных организаций-участников (пайщиков) фонда; а также бюджеты и валютные фонды заинтересованных стран.</w:t>
      </w:r>
    </w:p>
    <w:p w:rsidR="00FB35AD" w:rsidRDefault="00FB35AD">
      <w:pPr>
        <w:widowControl w:val="0"/>
        <w:spacing w:before="60"/>
        <w:ind w:firstLine="567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  <w:u w:val="single"/>
        </w:rPr>
        <w:t>Второй тип</w:t>
      </w:r>
      <w:r>
        <w:rPr>
          <w:snapToGrid w:val="0"/>
          <w:sz w:val="28"/>
          <w:u w:val="single"/>
        </w:rPr>
        <w:t xml:space="preserve"> </w:t>
      </w:r>
      <w:r>
        <w:rPr>
          <w:snapToGrid w:val="0"/>
          <w:sz w:val="28"/>
        </w:rPr>
        <w:t xml:space="preserve">организаций функционирует на основе бюджета, создаваемого ежегодными членскими взносами. Такими организациями являются международные и всемирные институты, координирующие деятельность национальных организаций в определенной области. </w:t>
      </w:r>
    </w:p>
    <w:p w:rsidR="00FB35AD" w:rsidRDefault="00FB35AD">
      <w:pPr>
        <w:widowControl w:val="0"/>
        <w:spacing w:before="60"/>
        <w:jc w:val="both"/>
        <w:rPr>
          <w:snapToGrid w:val="0"/>
          <w:sz w:val="28"/>
        </w:rPr>
      </w:pPr>
      <w:r>
        <w:rPr>
          <w:snapToGrid w:val="0"/>
          <w:sz w:val="28"/>
        </w:rPr>
        <w:t>К ним относятся: Организация Объединенных Наций (ООН) со</w:t>
      </w:r>
      <w:r>
        <w:rPr>
          <w:noProof/>
          <w:snapToGrid w:val="0"/>
          <w:sz w:val="28"/>
        </w:rPr>
        <w:t xml:space="preserve"> </w:t>
      </w:r>
      <w:r>
        <w:rPr>
          <w:snapToGrid w:val="0"/>
          <w:sz w:val="28"/>
        </w:rPr>
        <w:t>всеми ее институтами, во многих из которых участвует наше государство; Международное бюро времени, Международное агентство по атомной энергетике (МАГАТЭ), Международная организация мор</w:t>
      </w:r>
      <w:r>
        <w:rPr>
          <w:snapToGrid w:val="0"/>
          <w:sz w:val="28"/>
        </w:rPr>
        <w:softHyphen/>
        <w:t>ской спутниковой связи (ИНМАРСАТ), Всемирная федерация на</w:t>
      </w:r>
      <w:r>
        <w:rPr>
          <w:snapToGrid w:val="0"/>
          <w:sz w:val="28"/>
        </w:rPr>
        <w:softHyphen/>
        <w:t xml:space="preserve">учных работников (ВФНР), Международная ассоциация юристов-демократов (МАЮД) и многие другие. </w:t>
      </w:r>
    </w:p>
    <w:p w:rsidR="00FB35AD" w:rsidRDefault="00FB35AD">
      <w:pPr>
        <w:widowControl w:val="0"/>
        <w:spacing w:before="60"/>
        <w:jc w:val="both"/>
        <w:rPr>
          <w:i/>
          <w:snapToGrid w:val="0"/>
          <w:sz w:val="28"/>
        </w:rPr>
      </w:pPr>
      <w:r>
        <w:rPr>
          <w:b/>
          <w:snapToGrid w:val="0"/>
          <w:sz w:val="28"/>
        </w:rPr>
        <w:t>Например</w:t>
      </w:r>
      <w:r>
        <w:rPr>
          <w:i/>
          <w:snapToGrid w:val="0"/>
          <w:sz w:val="28"/>
        </w:rPr>
        <w:t>, цель Международного союза страховщиков технических рисков ~ обмен информацией и опытом между страховыми компаниями. Союз вырабатывает рекомендации по проведению определенных видов страхования. Средства бюджета формируются за счет членских взносов, источниками которых выступают собственные средства участников Союза страховщиков.</w:t>
      </w:r>
    </w:p>
    <w:p w:rsidR="00FB35AD" w:rsidRDefault="00FB35AD">
      <w:pPr>
        <w:widowControl w:val="0"/>
        <w:spacing w:before="6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Международный союз по публикации таможенных тарифов занимается систематизацией, изданием и распространением материалов о таможенных тарифах и таможенных законодательствах, издает ежемесячный международный таможенный бюллетень. Средства Союза складываются из членских взносов, размер которых определяется пропорционально объему внешнеторгового оборота стран-участниц. В Союз входит</w:t>
      </w:r>
      <w:r>
        <w:rPr>
          <w:i/>
          <w:noProof/>
          <w:snapToGrid w:val="0"/>
          <w:sz w:val="28"/>
        </w:rPr>
        <w:t xml:space="preserve"> 65</w:t>
      </w:r>
      <w:r>
        <w:rPr>
          <w:i/>
          <w:snapToGrid w:val="0"/>
          <w:sz w:val="28"/>
        </w:rPr>
        <w:t xml:space="preserve"> стран; источником взносов являются ресурсы государственных бюджетов этих стран.</w:t>
      </w:r>
    </w:p>
    <w:p w:rsidR="00FB35AD" w:rsidRDefault="00FB35AD">
      <w:pPr>
        <w:widowControl w:val="0"/>
        <w:spacing w:before="6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Финансовые ресурсы Международного института государственных финансов (МИГФ) формируются в основном из ежегодных членских взносов, регистрационных сборов с участников ежегодных научных конференций и конгрессов МИГФ, а также добровольных пожертвований, доходов от продажи научных публикаций института. МИГФ финансирует деятельность по изучению государственных финансов и государственной экономики, проведение научных исследований в этих областях, деятельность по установлению научных контактов, обмену знаниями и опытом между индивидуальными и коллективными членами института. МИГФ финансирует проведение Генеральной Ассамблеи, научных конференций и конгрессов, текущую организационную деятельность.</w:t>
      </w:r>
    </w:p>
    <w:p w:rsidR="00FB35AD" w:rsidRDefault="00FB35AD">
      <w:pPr>
        <w:widowControl w:val="0"/>
        <w:spacing w:before="60"/>
        <w:ind w:firstLine="567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  <w:u w:val="single"/>
        </w:rPr>
        <w:t>Третьим типом</w:t>
      </w:r>
      <w:r>
        <w:rPr>
          <w:snapToGrid w:val="0"/>
          <w:sz w:val="28"/>
        </w:rPr>
        <w:t xml:space="preserve"> международных организаций являются </w:t>
      </w:r>
      <w:r>
        <w:rPr>
          <w:b/>
          <w:snapToGrid w:val="0"/>
          <w:sz w:val="28"/>
        </w:rPr>
        <w:t>научные программы и конгрессы</w:t>
      </w:r>
      <w:r>
        <w:rPr>
          <w:snapToGrid w:val="0"/>
          <w:sz w:val="28"/>
        </w:rPr>
        <w:t>.</w:t>
      </w:r>
    </w:p>
    <w:p w:rsidR="00FB35AD" w:rsidRDefault="00FB35AD">
      <w:pPr>
        <w:pStyle w:val="22"/>
        <w:widowControl w:val="0"/>
        <w:ind w:firstLine="0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Они функционируют не постоянно, а их проведение осуществляется за счет финансирования участ</w:t>
      </w:r>
      <w:r>
        <w:rPr>
          <w:rFonts w:ascii="Times New Roman" w:hAnsi="Times New Roman"/>
          <w:snapToGrid w:val="0"/>
          <w:sz w:val="28"/>
        </w:rPr>
        <w:softHyphen/>
        <w:t xml:space="preserve">вующих сторон. </w:t>
      </w:r>
    </w:p>
    <w:p w:rsidR="00FB35AD" w:rsidRDefault="00FB35AD">
      <w:pPr>
        <w:widowControl w:val="0"/>
        <w:spacing w:before="6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Например, </w:t>
      </w:r>
      <w:r>
        <w:rPr>
          <w:i/>
          <w:snapToGrid w:val="0"/>
          <w:sz w:val="28"/>
        </w:rPr>
        <w:t>Международная биологическая программа</w:t>
      </w:r>
      <w:r>
        <w:rPr>
          <w:i/>
          <w:noProof/>
          <w:snapToGrid w:val="0"/>
          <w:sz w:val="28"/>
        </w:rPr>
        <w:t xml:space="preserve"> (1964-1974</w:t>
      </w:r>
      <w:r>
        <w:rPr>
          <w:i/>
          <w:snapToGrid w:val="0"/>
          <w:sz w:val="28"/>
        </w:rPr>
        <w:t xml:space="preserve"> гг.). Международный геодинамический проект </w:t>
      </w:r>
      <w:r>
        <w:rPr>
          <w:i/>
          <w:noProof/>
          <w:snapToGrid w:val="0"/>
          <w:sz w:val="28"/>
        </w:rPr>
        <w:t>(1971-1980</w:t>
      </w:r>
      <w:r>
        <w:rPr>
          <w:i/>
          <w:snapToGrid w:val="0"/>
          <w:sz w:val="28"/>
        </w:rPr>
        <w:t xml:space="preserve"> гг.), Международный год спокойного солнца МГСС </w:t>
      </w:r>
      <w:r>
        <w:rPr>
          <w:i/>
          <w:noProof/>
          <w:snapToGrid w:val="0"/>
          <w:sz w:val="28"/>
        </w:rPr>
        <w:t>(1964-</w:t>
      </w:r>
      <w:r>
        <w:rPr>
          <w:i/>
          <w:snapToGrid w:val="0"/>
          <w:sz w:val="28"/>
          <w:lang w:val="en-US"/>
        </w:rPr>
        <w:t xml:space="preserve"> 1</w:t>
      </w:r>
      <w:r>
        <w:rPr>
          <w:i/>
          <w:noProof/>
          <w:snapToGrid w:val="0"/>
          <w:sz w:val="28"/>
        </w:rPr>
        <w:t>965</w:t>
      </w:r>
      <w:r>
        <w:rPr>
          <w:i/>
          <w:snapToGrid w:val="0"/>
          <w:sz w:val="28"/>
        </w:rPr>
        <w:t xml:space="preserve"> гг.) Всемирный горный Конгресс созывается раз в</w:t>
      </w:r>
      <w:r>
        <w:rPr>
          <w:i/>
          <w:noProof/>
          <w:snapToGrid w:val="0"/>
          <w:sz w:val="28"/>
        </w:rPr>
        <w:t xml:space="preserve"> 2-3 </w:t>
      </w:r>
      <w:r>
        <w:rPr>
          <w:i/>
          <w:snapToGrid w:val="0"/>
          <w:sz w:val="28"/>
        </w:rPr>
        <w:t>года с</w:t>
      </w:r>
      <w:r>
        <w:rPr>
          <w:i/>
          <w:noProof/>
          <w:snapToGrid w:val="0"/>
          <w:sz w:val="28"/>
        </w:rPr>
        <w:t xml:space="preserve"> 1957</w:t>
      </w:r>
      <w:r>
        <w:rPr>
          <w:i/>
          <w:snapToGrid w:val="0"/>
          <w:sz w:val="28"/>
        </w:rPr>
        <w:t xml:space="preserve"> г. и др. Эти организации проводят комплексы научных исследований учеными многих стран</w:t>
      </w:r>
      <w:r>
        <w:rPr>
          <w:snapToGrid w:val="0"/>
          <w:sz w:val="28"/>
        </w:rPr>
        <w:t>.</w:t>
      </w:r>
    </w:p>
    <w:p w:rsidR="00FB35AD" w:rsidRDefault="00FB35AD">
      <w:pPr>
        <w:widowControl w:val="0"/>
        <w:spacing w:before="60"/>
        <w:ind w:firstLine="567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  <w:u w:val="single"/>
        </w:rPr>
        <w:t>Четвертый тип</w:t>
      </w:r>
      <w:r>
        <w:rPr>
          <w:snapToGrid w:val="0"/>
          <w:sz w:val="28"/>
        </w:rPr>
        <w:t xml:space="preserve"> международных организаций </w:t>
      </w:r>
      <w:r>
        <w:rPr>
          <w:b/>
          <w:snapToGrid w:val="0"/>
          <w:sz w:val="28"/>
        </w:rPr>
        <w:t>международные научные лаборатории, институты, союзы, комплексы и отраслевые ассоциации, бюро в определенных областях знаний</w:t>
      </w:r>
      <w:r>
        <w:rPr>
          <w:snapToGrid w:val="0"/>
          <w:sz w:val="28"/>
        </w:rPr>
        <w:t xml:space="preserve">. </w:t>
      </w:r>
    </w:p>
    <w:p w:rsidR="00FB35AD" w:rsidRDefault="00FB35AD">
      <w:pPr>
        <w:widowControl w:val="0"/>
        <w:spacing w:before="6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Они объединяют государства, национальные научные организации, ассоциации и отдельных ученых, занимающихся научными разработками, и коорди</w:t>
      </w:r>
      <w:r>
        <w:rPr>
          <w:snapToGrid w:val="0"/>
          <w:sz w:val="28"/>
        </w:rPr>
        <w:softHyphen/>
        <w:t xml:space="preserve">нируют их деятельность. Эти организации функционируют за счет бюджетов, источниками которых являются: ежегодные долевые взносы, регистрационные взносы участников конференций, пожертвования юридических и частных лиц, доходы от периодических изданий, научных, справочных материалов. </w:t>
      </w:r>
    </w:p>
    <w:p w:rsidR="00FB35AD" w:rsidRDefault="00FB35AD">
      <w:pPr>
        <w:widowControl w:val="0"/>
        <w:spacing w:before="60"/>
        <w:ind w:firstLine="567"/>
        <w:jc w:val="both"/>
        <w:rPr>
          <w:i/>
          <w:snapToGrid w:val="0"/>
          <w:sz w:val="28"/>
        </w:rPr>
      </w:pPr>
      <w:r>
        <w:rPr>
          <w:snapToGrid w:val="0"/>
          <w:sz w:val="28"/>
        </w:rPr>
        <w:t xml:space="preserve">Примерами подобных организаций являются: </w:t>
      </w:r>
      <w:r>
        <w:rPr>
          <w:i/>
          <w:snapToGrid w:val="0"/>
          <w:sz w:val="28"/>
        </w:rPr>
        <w:t>Международная лаборатория сильных магнитных полей и низких температур, которая работает по национальным и совместным программам; Международный институт сварки (МИС), Международный математический центр, Международный совет научных союзов (МСНС), охватывающий свыше десяти Международных советов по отдельным отраслям знаний, и другие научные союзы.</w:t>
      </w:r>
    </w:p>
    <w:p w:rsidR="00FB35AD" w:rsidRDefault="00FB35AD">
      <w:pPr>
        <w:widowControl w:val="0"/>
        <w:spacing w:before="60"/>
        <w:ind w:firstLine="567"/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 xml:space="preserve">Международные организации (фонды) </w:t>
      </w:r>
      <w:r>
        <w:rPr>
          <w:b/>
          <w:i/>
          <w:snapToGrid w:val="0"/>
          <w:sz w:val="28"/>
          <w:u w:val="single"/>
        </w:rPr>
        <w:t>пятого типа</w:t>
      </w:r>
      <w:r>
        <w:rPr>
          <w:snapToGrid w:val="0"/>
          <w:sz w:val="28"/>
        </w:rPr>
        <w:t xml:space="preserve"> занимаются </w:t>
      </w:r>
      <w:r>
        <w:rPr>
          <w:b/>
          <w:snapToGrid w:val="0"/>
          <w:sz w:val="28"/>
        </w:rPr>
        <w:t>сбором средств для финансирования мероприятий и оказания помощи в определенном виде деятельности.</w:t>
      </w:r>
    </w:p>
    <w:p w:rsidR="00FB35AD" w:rsidRDefault="00FB35AD">
      <w:pPr>
        <w:widowControl w:val="0"/>
        <w:spacing w:before="6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Например: </w:t>
      </w:r>
      <w:r>
        <w:rPr>
          <w:i/>
          <w:snapToGrid w:val="0"/>
          <w:sz w:val="28"/>
        </w:rPr>
        <w:t>Всемирный фонд дикой природы</w:t>
      </w:r>
      <w:r>
        <w:rPr>
          <w:i/>
          <w:noProof/>
          <w:snapToGrid w:val="0"/>
          <w:sz w:val="28"/>
        </w:rPr>
        <w:t xml:space="preserve"> -</w:t>
      </w:r>
      <w:r>
        <w:rPr>
          <w:i/>
          <w:snapToGrid w:val="0"/>
          <w:sz w:val="28"/>
        </w:rPr>
        <w:t xml:space="preserve"> неправительственная организация, занимается сбором средств от государств, общественных организаций и частных лиц для создания конкретных проектов по охране диких животных и природных участков. Она совместно с другими международными организациями финансирует соответствующие мероприятия, например, "Операция Тигр". Эта операция направлена на всемирный учет тигров и создание для них резерватов. Фонд имеет собственные издания, доходы от реализации которых являются одним из источников фонда. </w:t>
      </w:r>
    </w:p>
    <w:p w:rsidR="00FB35AD" w:rsidRDefault="00FB35AD">
      <w:pPr>
        <w:widowControl w:val="0"/>
        <w:spacing w:before="60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Фонд "Олимпийская солидарность" создан для оказания финансовой помощи национальным олимпийским комитетам (НОК) развивающихся стран. Он формируется за счет добровольных взносов НОК, частных пожертвований компаний, фирм и отдельных лиц, средств, пученных от инвестиционной и издательской деятельности Международного олимпийского комитета (МОК). В фонд поступает</w:t>
      </w:r>
      <w:r>
        <w:rPr>
          <w:i/>
          <w:noProof/>
          <w:snapToGrid w:val="0"/>
          <w:sz w:val="28"/>
        </w:rPr>
        <w:t xml:space="preserve"> 1/3 </w:t>
      </w:r>
      <w:r>
        <w:rPr>
          <w:i/>
          <w:snapToGrid w:val="0"/>
          <w:sz w:val="28"/>
        </w:rPr>
        <w:t>средств от продажи телевизионных прав на освещение олимпийских игр распределяемых между МОК, Фондом "Олимпийская солидарность" и международными федерациями по олимпийским видам спорта. Ежегодно утверждается бюджет этого Фонда. На проведение основных мероприятий по регионам направляется</w:t>
      </w:r>
      <w:r>
        <w:rPr>
          <w:i/>
          <w:noProof/>
          <w:snapToGrid w:val="0"/>
          <w:sz w:val="28"/>
        </w:rPr>
        <w:t xml:space="preserve"> 75-85%</w:t>
      </w:r>
      <w:r>
        <w:rPr>
          <w:i/>
          <w:snapToGrid w:val="0"/>
          <w:sz w:val="28"/>
        </w:rPr>
        <w:t xml:space="preserve"> всех расходов. Такими мероприятиями являются: проведение сборов, семинаров тренеров, приобретение спортинвентаря, оказание материальной помощи НОК. Остальные средства направляются на издательскую деятельность и текущие расходы.</w:t>
      </w:r>
    </w:p>
    <w:p w:rsidR="00FB35AD" w:rsidRDefault="00FB35AD">
      <w:pPr>
        <w:widowControl w:val="0"/>
        <w:spacing w:before="60"/>
        <w:jc w:val="both"/>
        <w:rPr>
          <w:i/>
          <w:snapToGrid w:val="0"/>
          <w:sz w:val="28"/>
        </w:rPr>
      </w:pPr>
    </w:p>
    <w:p w:rsidR="00FB35AD" w:rsidRDefault="00FB35AD" w:rsidP="00FB35AD">
      <w:pPr>
        <w:numPr>
          <w:ilvl w:val="0"/>
          <w:numId w:val="41"/>
        </w:numPr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>Международный валютный фонд(МВФ)</w:t>
      </w:r>
    </w:p>
    <w:p w:rsidR="00FB35AD" w:rsidRDefault="00FB35AD">
      <w:pPr>
        <w:widowControl w:val="0"/>
        <w:spacing w:before="60"/>
        <w:ind w:firstLine="284"/>
        <w:jc w:val="both"/>
        <w:rPr>
          <w:i/>
          <w:snapToGrid w:val="0"/>
          <w:sz w:val="28"/>
        </w:rPr>
      </w:pPr>
    </w:p>
    <w:p w:rsidR="00FB35AD" w:rsidRDefault="00FB35AD">
      <w:pPr>
        <w:pStyle w:val="5"/>
        <w:framePr w:dropCap="drop" w:lines="0" w:wrap="around"/>
        <w:rPr>
          <w:snapToGrid w:val="0"/>
        </w:rPr>
      </w:pPr>
      <w:r>
        <w:rPr>
          <w:snapToGrid w:val="0"/>
        </w:rPr>
        <w:t>М</w:t>
      </w:r>
    </w:p>
    <w:p w:rsidR="00FB35AD" w:rsidRDefault="00FB35AD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еждународный валютный фонд (МВФ;</w:t>
      </w:r>
      <w:r>
        <w:rPr>
          <w:snapToGrid w:val="0"/>
          <w:sz w:val="28"/>
          <w:lang w:val="en-US"/>
        </w:rPr>
        <w:t xml:space="preserve"> International Monetary Fund </w:t>
      </w:r>
      <w:r>
        <w:rPr>
          <w:noProof/>
          <w:snapToGrid w:val="0"/>
          <w:sz w:val="28"/>
        </w:rPr>
        <w:t>-</w:t>
      </w:r>
      <w:r>
        <w:rPr>
          <w:snapToGrid w:val="0"/>
          <w:sz w:val="28"/>
          <w:lang w:val="en-US"/>
        </w:rPr>
        <w:t>IMF)</w:t>
      </w:r>
      <w:r>
        <w:rPr>
          <w:noProof/>
          <w:snapToGrid w:val="0"/>
          <w:sz w:val="28"/>
        </w:rPr>
        <w:t xml:space="preserve"> -</w:t>
      </w:r>
      <w:r>
        <w:rPr>
          <w:snapToGrid w:val="0"/>
          <w:sz w:val="28"/>
        </w:rPr>
        <w:t xml:space="preserve"> специализированное учреждение ООН</w:t>
      </w:r>
      <w:r>
        <w:rPr>
          <w:noProof/>
          <w:snapToGrid w:val="0"/>
          <w:sz w:val="28"/>
        </w:rPr>
        <w:t xml:space="preserve"> - </w:t>
      </w:r>
      <w:r>
        <w:rPr>
          <w:snapToGrid w:val="0"/>
          <w:sz w:val="28"/>
        </w:rPr>
        <w:t>создан в</w:t>
      </w:r>
      <w:r>
        <w:rPr>
          <w:noProof/>
          <w:snapToGrid w:val="0"/>
          <w:sz w:val="28"/>
        </w:rPr>
        <w:t xml:space="preserve"> 1945</w:t>
      </w:r>
      <w:r>
        <w:rPr>
          <w:snapToGrid w:val="0"/>
          <w:sz w:val="28"/>
        </w:rPr>
        <w:t xml:space="preserve"> г. после ратификации Соглашения, разработанного на Конференции Организации Объединенных Наций по валютно-финансовым вопросам в Бреттон-Вудсе</w:t>
      </w:r>
      <w:r>
        <w:rPr>
          <w:noProof/>
          <w:snapToGrid w:val="0"/>
          <w:sz w:val="28"/>
        </w:rPr>
        <w:t xml:space="preserve"> (1944</w:t>
      </w:r>
      <w:r>
        <w:rPr>
          <w:snapToGrid w:val="0"/>
          <w:sz w:val="28"/>
        </w:rPr>
        <w:t>г.) и вступившего в силу</w:t>
      </w:r>
      <w:r>
        <w:rPr>
          <w:noProof/>
          <w:snapToGrid w:val="0"/>
          <w:sz w:val="28"/>
        </w:rPr>
        <w:t xml:space="preserve"> 27</w:t>
      </w:r>
      <w:r>
        <w:rPr>
          <w:snapToGrid w:val="0"/>
          <w:sz w:val="28"/>
        </w:rPr>
        <w:t xml:space="preserve"> декабря</w:t>
      </w:r>
      <w:r>
        <w:rPr>
          <w:noProof/>
          <w:snapToGrid w:val="0"/>
          <w:sz w:val="28"/>
        </w:rPr>
        <w:t xml:space="preserve"> 1945</w:t>
      </w:r>
      <w:r>
        <w:rPr>
          <w:snapToGrid w:val="0"/>
          <w:sz w:val="28"/>
        </w:rPr>
        <w:t xml:space="preserve"> г. МВФ начал функционировать в</w:t>
      </w:r>
      <w:r>
        <w:rPr>
          <w:noProof/>
          <w:snapToGrid w:val="0"/>
          <w:sz w:val="28"/>
        </w:rPr>
        <w:t xml:space="preserve"> 1946</w:t>
      </w:r>
      <w:r>
        <w:rPr>
          <w:snapToGrid w:val="0"/>
          <w:sz w:val="28"/>
        </w:rPr>
        <w:t xml:space="preserve"> г. Местопребывание МВФ</w:t>
      </w:r>
      <w:r>
        <w:rPr>
          <w:noProof/>
          <w:snapToGrid w:val="0"/>
          <w:sz w:val="28"/>
        </w:rPr>
        <w:t xml:space="preserve"> -</w:t>
      </w:r>
      <w:r>
        <w:rPr>
          <w:snapToGrid w:val="0"/>
          <w:sz w:val="28"/>
        </w:rPr>
        <w:t xml:space="preserve"> Вашингтон (США).</w:t>
      </w:r>
    </w:p>
    <w:p w:rsidR="00FB35AD" w:rsidRDefault="00FB35AD">
      <w:pPr>
        <w:widowControl w:val="0"/>
        <w:ind w:firstLine="260"/>
        <w:jc w:val="both"/>
        <w:rPr>
          <w:noProof/>
          <w:snapToGrid w:val="0"/>
          <w:sz w:val="28"/>
        </w:rPr>
      </w:pPr>
      <w:r>
        <w:rPr>
          <w:snapToGrid w:val="0"/>
          <w:sz w:val="28"/>
        </w:rPr>
        <w:t>Одной из задач МВФ по упорядочению валютных курсов в соответствии с Бреттонвудским соглашениями было урегулирова</w:t>
      </w:r>
      <w:r>
        <w:rPr>
          <w:snapToGrid w:val="0"/>
          <w:sz w:val="28"/>
        </w:rPr>
        <w:softHyphen/>
        <w:t>ние и поддержание устойчивости паритетов валют стран-членов, выраженных в золоте или долларах. Страны не имели права изменять паритеты своих валют более чем на</w:t>
      </w:r>
      <w:r>
        <w:rPr>
          <w:noProof/>
          <w:snapToGrid w:val="0"/>
          <w:sz w:val="28"/>
        </w:rPr>
        <w:t xml:space="preserve"> 10%</w:t>
      </w:r>
      <w:r>
        <w:rPr>
          <w:snapToGrid w:val="0"/>
          <w:sz w:val="28"/>
        </w:rPr>
        <w:t xml:space="preserve"> без санкции МВФ, а также допускать при проведении операций отклонения от паритета сверх</w:t>
      </w:r>
      <w:r>
        <w:rPr>
          <w:noProof/>
          <w:snapToGrid w:val="0"/>
          <w:sz w:val="28"/>
        </w:rPr>
        <w:t xml:space="preserve"> +/— 1%</w:t>
      </w:r>
      <w:r>
        <w:rPr>
          <w:snapToGrid w:val="0"/>
          <w:sz w:val="28"/>
        </w:rPr>
        <w:t xml:space="preserve"> (с декабря</w:t>
      </w:r>
      <w:r>
        <w:rPr>
          <w:noProof/>
          <w:snapToGrid w:val="0"/>
          <w:sz w:val="28"/>
        </w:rPr>
        <w:t xml:space="preserve"> 1971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сверх</w:t>
      </w:r>
      <w:r>
        <w:rPr>
          <w:noProof/>
          <w:snapToGrid w:val="0"/>
          <w:sz w:val="28"/>
        </w:rPr>
        <w:t xml:space="preserve"> +/— 2,25%).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Согласно Уставу МВФ, государства-члены должны были на базе фиксированных курсов валют вводить их обратимость по текущим международным операциям и проводить политику по полному устранению валютных отграничений. На практике эти положения не могли быть выполнены многими странами (валютные ограничения отменены лишь в</w:t>
      </w:r>
      <w:r>
        <w:rPr>
          <w:noProof/>
          <w:snapToGrid w:val="0"/>
          <w:sz w:val="28"/>
        </w:rPr>
        <w:t xml:space="preserve"> 60</w:t>
      </w:r>
      <w:r>
        <w:rPr>
          <w:snapToGrid w:val="0"/>
          <w:sz w:val="28"/>
        </w:rPr>
        <w:t xml:space="preserve"> странах).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Межгосударственное регулирование валютных отношений через МВФ не смогло предотвратить нарастания противоречий Бреттон-Вудской валютной системы в начале 70-х гг., что привело к подрыву ее принципов и трансформации: в</w:t>
      </w:r>
      <w:r>
        <w:rPr>
          <w:noProof/>
          <w:snapToGrid w:val="0"/>
          <w:sz w:val="28"/>
        </w:rPr>
        <w:t xml:space="preserve"> 1973</w:t>
      </w:r>
      <w:r>
        <w:rPr>
          <w:snapToGrid w:val="0"/>
          <w:sz w:val="28"/>
        </w:rPr>
        <w:t xml:space="preserve"> г. страны-члены МВФ отменили фиксированные паритеты и валютные курсы и ввели режим плавающих валютных курсов, юридически закрепленный серией поправок к Уставу МВФ, принятых</w:t>
      </w:r>
      <w:r>
        <w:rPr>
          <w:noProof/>
          <w:snapToGrid w:val="0"/>
          <w:sz w:val="28"/>
        </w:rPr>
        <w:t xml:space="preserve"> 1</w:t>
      </w:r>
      <w:r>
        <w:rPr>
          <w:snapToGrid w:val="0"/>
          <w:sz w:val="28"/>
        </w:rPr>
        <w:t xml:space="preserve"> апреля </w:t>
      </w:r>
      <w:r>
        <w:rPr>
          <w:noProof/>
          <w:snapToGrid w:val="0"/>
          <w:sz w:val="28"/>
        </w:rPr>
        <w:t>1978</w:t>
      </w:r>
      <w:r>
        <w:rPr>
          <w:snapToGrid w:val="0"/>
          <w:sz w:val="28"/>
        </w:rPr>
        <w:t xml:space="preserve"> г. В соответствии с измененным Уставом МВФ был заменен порядок валютного регулирования Фонда: вместо права регулировать валютные паритеты установлено право "наблюдения" за функционированием мировой валютной системы и состоянием валютных курсов.</w:t>
      </w:r>
    </w:p>
    <w:p w:rsidR="00FB35AD" w:rsidRDefault="00FB35AD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Устав МВФ изменялся в</w:t>
      </w:r>
      <w:r>
        <w:rPr>
          <w:noProof/>
          <w:snapToGrid w:val="0"/>
          <w:sz w:val="28"/>
        </w:rPr>
        <w:t xml:space="preserve"> 1969</w:t>
      </w:r>
      <w:r>
        <w:rPr>
          <w:snapToGrid w:val="0"/>
          <w:sz w:val="28"/>
        </w:rPr>
        <w:t xml:space="preserve"> г. (с введением СДР), в</w:t>
      </w:r>
      <w:r>
        <w:rPr>
          <w:noProof/>
          <w:snapToGrid w:val="0"/>
          <w:sz w:val="28"/>
        </w:rPr>
        <w:t xml:space="preserve"> 1976— 1978</w:t>
      </w:r>
      <w:r>
        <w:rPr>
          <w:snapToGrid w:val="0"/>
          <w:sz w:val="28"/>
        </w:rPr>
        <w:t xml:space="preserve"> гг. (с ликвидацией Бреттон-Вудской валютной системы и созданием Ямайской валютной системы) и в ноябре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 (с включением санкции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приостановлением права голосования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>-по отношению к государствам, не погасившим свой долг перед МВФ)</w:t>
      </w:r>
    </w:p>
    <w:p w:rsidR="00FB35AD" w:rsidRDefault="00FB35AD">
      <w:pPr>
        <w:widowControl w:val="0"/>
        <w:ind w:left="320" w:firstLine="247"/>
        <w:jc w:val="both"/>
        <w:rPr>
          <w:b/>
          <w:noProof/>
          <w:snapToGrid w:val="0"/>
          <w:sz w:val="28"/>
        </w:rPr>
      </w:pPr>
      <w:r>
        <w:rPr>
          <w:b/>
          <w:i/>
          <w:snapToGrid w:val="0"/>
          <w:sz w:val="28"/>
        </w:rPr>
        <w:t>Цели МВФ</w:t>
      </w:r>
      <w:r>
        <w:rPr>
          <w:b/>
          <w:noProof/>
          <w:snapToGrid w:val="0"/>
          <w:sz w:val="28"/>
        </w:rPr>
        <w:t>: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поощрение международного сотрудничества в области валютной политики;</w:t>
      </w:r>
    </w:p>
    <w:p w:rsidR="00FB35AD" w:rsidRDefault="00FB35AD">
      <w:pPr>
        <w:widowControl w:val="0"/>
        <w:ind w:firstLine="26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способствование сбалансированному росту в области валютной политики;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способствование сбалансированному росту мировой торговли для стимулирования и поддержания высокого уровня занятости и реальных доходов, для развития производственного потенциала всех государств-членов в качестве главной цели экономической политики;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поддержание стабильности валют и упорядочение валютных отношений между государствами-членами, а также воспрепятствование девальвации валют из соображений конкуренции;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участие в создании многосторонней системы платежей, а также устранение ограничений на трансфер валюты;</w:t>
      </w:r>
    </w:p>
    <w:p w:rsidR="00FB35AD" w:rsidRDefault="00FB35AD">
      <w:pPr>
        <w:widowControl w:val="0"/>
        <w:ind w:firstLine="26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предоставление средств для ликвидации несбалансированности платежных балансов государств-членов.</w:t>
      </w:r>
    </w:p>
    <w:p w:rsidR="00FB35AD" w:rsidRDefault="00FB35AD">
      <w:pPr>
        <w:widowControl w:val="0"/>
        <w:ind w:firstLine="260"/>
        <w:jc w:val="both"/>
        <w:rPr>
          <w:b/>
          <w:noProof/>
          <w:snapToGrid w:val="0"/>
          <w:sz w:val="28"/>
        </w:rPr>
      </w:pPr>
      <w:r>
        <w:rPr>
          <w:b/>
          <w:i/>
          <w:snapToGrid w:val="0"/>
          <w:sz w:val="28"/>
        </w:rPr>
        <w:t>Функции МВФ</w:t>
      </w:r>
      <w:r>
        <w:rPr>
          <w:b/>
          <w:noProof/>
          <w:snapToGrid w:val="0"/>
          <w:sz w:val="28"/>
        </w:rPr>
        <w:t>:</w:t>
      </w:r>
    </w:p>
    <w:p w:rsidR="00FB35AD" w:rsidRDefault="00FB35AD">
      <w:pPr>
        <w:widowControl w:val="0"/>
        <w:ind w:firstLine="26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соблюдение согласованного кодекса поведения (тесное сотрудничество в вопросах международной валютной политики и межгосударственного платежного оборота);</w:t>
      </w:r>
    </w:p>
    <w:p w:rsidR="00FB35AD" w:rsidRDefault="00FB35AD">
      <w:pPr>
        <w:widowControl w:val="0"/>
        <w:ind w:firstLine="26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финансовая помощь для преодоления дефицита платежного баланса; </w:t>
      </w:r>
    </w:p>
    <w:p w:rsidR="00FB35AD" w:rsidRDefault="00FB35AD">
      <w:pPr>
        <w:widowControl w:val="0"/>
        <w:ind w:firstLine="26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консультирование и сотрудничество.</w:t>
      </w:r>
    </w:p>
    <w:p w:rsidR="00FB35AD" w:rsidRDefault="00FB35AD">
      <w:pPr>
        <w:widowControl w:val="0"/>
        <w:ind w:firstLine="260"/>
        <w:jc w:val="both"/>
        <w:rPr>
          <w:b/>
          <w:noProof/>
          <w:snapToGrid w:val="0"/>
          <w:sz w:val="28"/>
        </w:rPr>
      </w:pPr>
      <w:r>
        <w:rPr>
          <w:b/>
          <w:i/>
          <w:snapToGrid w:val="0"/>
          <w:sz w:val="28"/>
        </w:rPr>
        <w:t>Принципы МВФ</w:t>
      </w:r>
      <w:r>
        <w:rPr>
          <w:b/>
          <w:noProof/>
          <w:snapToGrid w:val="0"/>
          <w:sz w:val="28"/>
        </w:rPr>
        <w:t>:</w:t>
      </w:r>
    </w:p>
    <w:p w:rsidR="00FB35AD" w:rsidRDefault="00FB35AD">
      <w:pPr>
        <w:widowControl w:val="0"/>
        <w:ind w:firstLine="26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запрет на манипуляции валютным курсом или международ</w:t>
      </w:r>
      <w:r>
        <w:rPr>
          <w:snapToGrid w:val="0"/>
          <w:sz w:val="28"/>
        </w:rPr>
        <w:softHyphen/>
        <w:t>ной валютной системой для уклонения от урегулирования;</w:t>
      </w:r>
    </w:p>
    <w:p w:rsidR="00FB35AD" w:rsidRDefault="00FB35AD">
      <w:pPr>
        <w:widowControl w:val="0"/>
        <w:ind w:firstLine="26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обязательство проведения (в случае необходимости) интервенций на валютных рынках для прекращения валютного кризиса;</w:t>
      </w:r>
    </w:p>
    <w:p w:rsidR="00FB35AD" w:rsidRDefault="00FB35AD">
      <w:pPr>
        <w:widowControl w:val="0"/>
        <w:ind w:firstLine="26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обязательство каждой страны учитывать в своей политике интервенций интересы своих партнеров, в особенности тех, в ва</w:t>
      </w:r>
      <w:r>
        <w:rPr>
          <w:snapToGrid w:val="0"/>
          <w:sz w:val="28"/>
        </w:rPr>
        <w:softHyphen/>
        <w:t>люте которых она осуществляет свои интервенции.</w:t>
      </w:r>
    </w:p>
    <w:p w:rsidR="00FB35AD" w:rsidRDefault="00FB35AD">
      <w:pPr>
        <w:widowControl w:val="0"/>
        <w:ind w:firstLine="26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Членство в МВФ</w:t>
      </w:r>
    </w:p>
    <w:p w:rsidR="00FB35AD" w:rsidRDefault="00FB35AD">
      <w:pPr>
        <w:ind w:firstLine="260"/>
        <w:jc w:val="both"/>
        <w:rPr>
          <w:snapToGrid w:val="0"/>
          <w:sz w:val="28"/>
        </w:rPr>
      </w:pPr>
      <w:r>
        <w:rPr>
          <w:snapToGrid w:val="0"/>
          <w:sz w:val="28"/>
        </w:rPr>
        <w:t>В настоящее время насчитывается</w:t>
      </w:r>
      <w:r>
        <w:rPr>
          <w:noProof/>
          <w:snapToGrid w:val="0"/>
          <w:sz w:val="28"/>
        </w:rPr>
        <w:t xml:space="preserve"> 181</w:t>
      </w:r>
      <w:r>
        <w:rPr>
          <w:snapToGrid w:val="0"/>
          <w:sz w:val="28"/>
        </w:rPr>
        <w:t xml:space="preserve"> государство-член МВФ. Членство открыто для государств в устанавливаемые МВФ сроки на определяемых МВФ условиях. Новыми  членами являются  Болгария, Намибия, Швейцария, Россия (июнь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г.), Эстония,  Латвия, Литва, Албания, Молдавия, Казахстан, Армения, Белоруссия, Киргизия и Маршалловы острова. Среди кандидатов на вступление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Сан-Марино, Узбекистан, Таджикистан и Украина.</w:t>
      </w:r>
    </w:p>
    <w:p w:rsidR="00FB35AD" w:rsidRDefault="00FB35AD">
      <w:pPr>
        <w:widowControl w:val="0"/>
        <w:ind w:left="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Организационная структура МВФ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Высшим руководящим органом МВФ является Совет управляющих, состоящий из представителей стран-членов (обычно ответственного за проведение валютной политики министра или главы центрального банка вместе с заместителем), назначенных на </w:t>
      </w:r>
      <w:r>
        <w:rPr>
          <w:noProof/>
          <w:snapToGrid w:val="0"/>
          <w:sz w:val="28"/>
        </w:rPr>
        <w:t>5</w:t>
      </w:r>
      <w:r>
        <w:rPr>
          <w:snapToGrid w:val="0"/>
          <w:sz w:val="28"/>
        </w:rPr>
        <w:t xml:space="preserve"> лет. В ведение Совета входят: изменение статей Соглашения, прием и исключение государств-членов, определение и пересмотр величины их долей в капитале, выборы исполнительных директоров. Совет управляющих собирается один раз в год и обычно принимает решения по вопросам, которые согласно Уставу не могут быть переданы другому органу. За исключением ряда полномочий (определение условий и прием новых членов, пересмотр квот, изменение валютных паритетов и др.), Совет управляющих может делегировать исполнение своих задач Исполнительному совету. Совет управляющих принимает решения простым большинством голосов, а по наиболее важным вопросам (экономическим и политическим)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квалифицированным большинством</w:t>
      </w:r>
      <w:r>
        <w:rPr>
          <w:noProof/>
          <w:snapToGrid w:val="0"/>
          <w:sz w:val="28"/>
        </w:rPr>
        <w:t xml:space="preserve"> (70</w:t>
      </w:r>
      <w:r>
        <w:rPr>
          <w:snapToGrid w:val="0"/>
          <w:sz w:val="28"/>
        </w:rPr>
        <w:t xml:space="preserve"> или</w:t>
      </w:r>
      <w:r>
        <w:rPr>
          <w:noProof/>
          <w:snapToGrid w:val="0"/>
          <w:sz w:val="28"/>
        </w:rPr>
        <w:t xml:space="preserve"> 85% </w:t>
      </w:r>
      <w:r>
        <w:rPr>
          <w:snapToGrid w:val="0"/>
          <w:sz w:val="28"/>
        </w:rPr>
        <w:t>от голосов членов).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  <w:r>
        <w:rPr>
          <w:snapToGrid w:val="0"/>
          <w:sz w:val="28"/>
        </w:rPr>
        <w:t>Совет управляющих может учредить новый постоянный орган управления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Совет на уровне министров для регулирования контроля за мировой валютной системой и ее приспособлением к меняющимся условиям. Но он еще не создан и его функции выполняет Временный комитет, состоящий из</w:t>
      </w:r>
      <w:r>
        <w:rPr>
          <w:noProof/>
          <w:snapToGrid w:val="0"/>
          <w:sz w:val="28"/>
        </w:rPr>
        <w:t xml:space="preserve"> 24</w:t>
      </w:r>
      <w:r>
        <w:rPr>
          <w:snapToGrid w:val="0"/>
          <w:sz w:val="28"/>
        </w:rPr>
        <w:t xml:space="preserve"> членов. Временный комитет собирается на заседания дважды в год и постоянно консультирует Совет управляющих по регулированию платежных балансов, обеспечению международной ликвидности, принципам использования ресурсов МВФ, принятию мер, направленных на смягчение кризисных ситуаций в мировой валютной системе, и т.д.</w:t>
      </w:r>
    </w:p>
    <w:p w:rsidR="00FB35AD" w:rsidRDefault="00FB35AD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Исполнительный совет (Директорат) отвечает за текущие дела МВФ. Семь из</w:t>
      </w:r>
      <w:r>
        <w:rPr>
          <w:noProof/>
          <w:snapToGrid w:val="0"/>
          <w:sz w:val="28"/>
        </w:rPr>
        <w:t xml:space="preserve"> 24</w:t>
      </w:r>
      <w:r>
        <w:rPr>
          <w:snapToGrid w:val="0"/>
          <w:sz w:val="28"/>
        </w:rPr>
        <w:t xml:space="preserve"> исполнительных директоров назначаются странами с наибольшими квотами (Германия, Великобритания, Китай, Франция, Саудовская Аравия, США и Япония), остальные избираются управляющими от других стран с соблюдением принципов регионального представительства. Назначение и выборы производятся раз в два года. Заседания Исполнительного совета</w:t>
      </w:r>
    </w:p>
    <w:p w:rsidR="00FB35AD" w:rsidRDefault="00FB35AD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проходят несколько раз в неделю под председательством директор</w:t>
      </w:r>
      <w:r>
        <w:rPr>
          <w:noProof/>
          <w:snapToGrid w:val="0"/>
          <w:sz w:val="28"/>
        </w:rPr>
        <w:t>a-распорядителя.</w:t>
      </w:r>
      <w:r>
        <w:rPr>
          <w:snapToGrid w:val="0"/>
          <w:sz w:val="28"/>
        </w:rPr>
        <w:t xml:space="preserve"> Как правило. Директорат принимает решения, основываясь на материалах и докладах, которые подготовлены административным аппаратом. Формально все должностные лица МВФ подчиняются только руководящим органам фонда, и правительства государств-членов не имеют права оказывать на них давления.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Директорат назначает директора-распорядителя (по традиции это представитель Европы), который не может быть ни управляющим, ни исполнительным директором. Директор-распорядитель председательствует в Директорате (без права голоса, за исключением случаев, когда голоса разделяются поровну) и возглавляет административный аппарат фонда.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 функции директора-распорядителя входят ведение текущих дел и назначение должностных лиц МВФ: своего заместителя, секретаря, казначея, заведующих отделами, генерального советника юридического отдела, заведующих административной службой и европейской штаб-квартирой фонда (в Париже).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Взаимодействие МВФ с государствами-членами производится через региональные отделы: Африканский, Европейский</w:t>
      </w:r>
      <w:r>
        <w:rPr>
          <w:noProof/>
          <w:snapToGrid w:val="0"/>
          <w:sz w:val="28"/>
        </w:rPr>
        <w:t xml:space="preserve"> 1,</w:t>
      </w:r>
      <w:r>
        <w:rPr>
          <w:snapToGrid w:val="0"/>
          <w:sz w:val="28"/>
        </w:rPr>
        <w:t xml:space="preserve"> Европейский</w:t>
      </w:r>
      <w:r>
        <w:rPr>
          <w:noProof/>
          <w:snapToGrid w:val="0"/>
          <w:sz w:val="28"/>
        </w:rPr>
        <w:t xml:space="preserve"> II,</w:t>
      </w:r>
      <w:r>
        <w:rPr>
          <w:snapToGrid w:val="0"/>
          <w:sz w:val="28"/>
        </w:rPr>
        <w:t xml:space="preserve"> Среднего Востока, Центральной Азии, Юго-Восточной Азии и Тихоокеанского региона. В МВФ имеются отделы центральных банков, валютных и торговых отношений, по бюджетно-налоговым вопросам. правовой и исследовательский. В аппарате МВФ заняты</w:t>
      </w:r>
      <w:r>
        <w:rPr>
          <w:noProof/>
          <w:snapToGrid w:val="0"/>
          <w:sz w:val="28"/>
        </w:rPr>
        <w:t xml:space="preserve"> 2300</w:t>
      </w:r>
      <w:r>
        <w:rPr>
          <w:snapToGrid w:val="0"/>
          <w:sz w:val="28"/>
        </w:rPr>
        <w:t xml:space="preserve"> сотрудников,</w:t>
      </w:r>
      <w:r>
        <w:rPr>
          <w:noProof/>
          <w:snapToGrid w:val="0"/>
          <w:sz w:val="28"/>
        </w:rPr>
        <w:t xml:space="preserve"> 50%</w:t>
      </w:r>
      <w:r>
        <w:rPr>
          <w:snapToGrid w:val="0"/>
          <w:sz w:val="28"/>
        </w:rPr>
        <w:t xml:space="preserve"> из которых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женщины. Это главным образом экономисты, специалисты по налогам, статистике, финансам и филологии.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Организационная структура аппарата МВФ постоянно развивается из-за целевых установок и функций МВФ, которые определяются трансформацией мировой экономики и международных валютно-финансовых отношений.</w:t>
      </w:r>
    </w:p>
    <w:p w:rsidR="00FB35AD" w:rsidRDefault="00FB35AD">
      <w:pPr>
        <w:widowControl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Уставный фонд МВФ и заемные средства</w:t>
      </w:r>
    </w:p>
    <w:p w:rsidR="00FB35AD" w:rsidRDefault="00FB35AD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Уставный фонд МВФ образуется за счет взносов государств-членов в соответствии с установленной для каждого из них квотой. Квоты служат для определения объема финансового взноса каждого члена; размеров кредитов в МВФ, которые пропорцио</w:t>
      </w:r>
      <w:r>
        <w:rPr>
          <w:snapToGrid w:val="0"/>
          <w:sz w:val="28"/>
        </w:rPr>
        <w:softHyphen/>
        <w:t>нальны квоте; определения количества голосов, имеющихся у той или иной страны, и соответственно ее возможности воздейство</w:t>
      </w:r>
      <w:r>
        <w:rPr>
          <w:snapToGrid w:val="0"/>
          <w:sz w:val="28"/>
        </w:rPr>
        <w:softHyphen/>
        <w:t xml:space="preserve">вать на политику этой организации. Величина квоты зависит от уровня экономического развития страны и ее роли в мировой экономике и международной торговле. </w:t>
      </w:r>
    </w:p>
    <w:p w:rsidR="00FB35AD" w:rsidRDefault="00FB35AD">
      <w:pPr>
        <w:ind w:firstLine="567"/>
        <w:jc w:val="both"/>
        <w:rPr>
          <w:sz w:val="28"/>
          <w:lang w:val="en-US"/>
        </w:rPr>
      </w:pPr>
      <w:r>
        <w:rPr>
          <w:snapToGrid w:val="0"/>
          <w:sz w:val="28"/>
        </w:rPr>
        <w:t>В настоящее время оплаченный капитал достигает</w:t>
      </w:r>
      <w:r>
        <w:rPr>
          <w:noProof/>
          <w:snapToGrid w:val="0"/>
          <w:sz w:val="28"/>
        </w:rPr>
        <w:t xml:space="preserve"> 120</w:t>
      </w:r>
      <w:r>
        <w:rPr>
          <w:snapToGrid w:val="0"/>
          <w:sz w:val="28"/>
        </w:rPr>
        <w:t xml:space="preserve"> млрд. дол. </w:t>
      </w:r>
      <w:r>
        <w:rPr>
          <w:noProof/>
          <w:snapToGrid w:val="0"/>
          <w:sz w:val="28"/>
        </w:rPr>
        <w:t>(90</w:t>
      </w:r>
      <w:r>
        <w:rPr>
          <w:snapToGrid w:val="0"/>
          <w:sz w:val="28"/>
        </w:rPr>
        <w:t xml:space="preserve"> млрд. СДР;</w:t>
      </w:r>
      <w:r>
        <w:rPr>
          <w:noProof/>
          <w:snapToGrid w:val="0"/>
          <w:sz w:val="28"/>
        </w:rPr>
        <w:t xml:space="preserve"> 56,6</w:t>
      </w:r>
      <w:r>
        <w:rPr>
          <w:snapToGrid w:val="0"/>
          <w:sz w:val="28"/>
        </w:rPr>
        <w:t xml:space="preserve"> млрд. дол. оплачено золотом), причем он скоро должен увеличиться до</w:t>
      </w:r>
      <w:r>
        <w:rPr>
          <w:noProof/>
          <w:snapToGrid w:val="0"/>
          <w:sz w:val="28"/>
        </w:rPr>
        <w:t xml:space="preserve"> 180</w:t>
      </w:r>
      <w:r>
        <w:rPr>
          <w:snapToGrid w:val="0"/>
          <w:sz w:val="28"/>
        </w:rPr>
        <w:t xml:space="preserve"> млрд. дол. (СДР =</w:t>
      </w:r>
      <w:r>
        <w:rPr>
          <w:noProof/>
          <w:snapToGrid w:val="0"/>
          <w:sz w:val="28"/>
        </w:rPr>
        <w:t xml:space="preserve"> 1,2</w:t>
      </w:r>
      <w:r>
        <w:rPr>
          <w:snapToGrid w:val="0"/>
          <w:sz w:val="28"/>
        </w:rPr>
        <w:t xml:space="preserve"> дол. США).</w:t>
      </w: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ind w:firstLine="567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Десять стран-членов МВФ с наиболее крупными квотами на</w:t>
      </w:r>
      <w:r>
        <w:rPr>
          <w:b/>
          <w:i/>
          <w:noProof/>
          <w:snapToGrid w:val="0"/>
          <w:sz w:val="28"/>
        </w:rPr>
        <w:t xml:space="preserve"> 1997</w:t>
      </w:r>
      <w:r>
        <w:rPr>
          <w:b/>
          <w:i/>
          <w:snapToGrid w:val="0"/>
          <w:sz w:val="28"/>
        </w:rPr>
        <w:t xml:space="preserve"> г.</w:t>
      </w:r>
    </w:p>
    <w:p w:rsidR="00FB35AD" w:rsidRDefault="00FB35AD">
      <w:pPr>
        <w:ind w:firstLine="567"/>
        <w:jc w:val="both"/>
        <w:rPr>
          <w:sz w:val="28"/>
          <w:lang w:val="en-US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969"/>
      </w:tblGrid>
      <w:tr w:rsidR="00FB35AD">
        <w:trPr>
          <w:trHeight w:hRule="exact" w:val="6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AD" w:rsidRDefault="00FB35AD">
            <w:pPr>
              <w:widowControl w:val="0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Страны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AD" w:rsidRDefault="00FB35AD">
            <w:pPr>
              <w:widowControl w:val="0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Размер квот (в млн. СДР)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AD" w:rsidRDefault="00FB35AD">
            <w:pPr>
              <w:widowControl w:val="0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</w:t>
            </w:r>
            <w:r>
              <w:rPr>
                <w:b/>
                <w:noProof/>
                <w:snapToGrid w:val="0"/>
                <w:sz w:val="28"/>
              </w:rPr>
              <w:t xml:space="preserve"> %</w:t>
            </w:r>
            <w:r>
              <w:rPr>
                <w:b/>
                <w:snapToGrid w:val="0"/>
                <w:sz w:val="28"/>
              </w:rPr>
              <w:t xml:space="preserve"> к общему количеству</w:t>
            </w:r>
          </w:p>
        </w:tc>
      </w:tr>
      <w:tr w:rsidR="00FB35AD">
        <w:trPr>
          <w:trHeight w:hRule="exact" w:val="32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AD" w:rsidRDefault="00FB35AD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Все страны </w:t>
            </w:r>
          </w:p>
          <w:p w:rsidR="00FB35AD" w:rsidRDefault="00FB35AD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Промышленно развитые </w:t>
            </w:r>
          </w:p>
          <w:p w:rsidR="00FB35AD" w:rsidRDefault="00FB35AD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США </w:t>
            </w:r>
          </w:p>
          <w:p w:rsidR="00FB35AD" w:rsidRDefault="00FB35AD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Япония</w:t>
            </w:r>
          </w:p>
          <w:p w:rsidR="00FB35AD" w:rsidRDefault="00FB35AD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Германия </w:t>
            </w:r>
          </w:p>
          <w:p w:rsidR="00FB35AD" w:rsidRDefault="00FB35AD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Франция </w:t>
            </w:r>
          </w:p>
          <w:p w:rsidR="00FB35AD" w:rsidRDefault="00FB35AD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Великобритания </w:t>
            </w:r>
          </w:p>
          <w:p w:rsidR="00FB35AD" w:rsidRDefault="00FB35AD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Саудовская Аравия </w:t>
            </w:r>
          </w:p>
          <w:p w:rsidR="00FB35AD" w:rsidRDefault="00FB35AD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Италия </w:t>
            </w:r>
          </w:p>
          <w:p w:rsidR="00FB35AD" w:rsidRDefault="00FB35AD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Канада </w:t>
            </w:r>
          </w:p>
          <w:p w:rsidR="00FB35AD" w:rsidRDefault="00FB35AD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Российская Федерация </w:t>
            </w:r>
          </w:p>
          <w:p w:rsidR="00FB35AD" w:rsidRDefault="00FB35AD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Китай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145318,8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88425,2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26526,8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8241,5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8241,5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7414,6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7414,6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5130,6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4590,7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4320,3</w:t>
            </w:r>
          </w:p>
          <w:p w:rsidR="00FB35AD" w:rsidRDefault="00FB35AD">
            <w:pPr>
              <w:widowControl w:val="0"/>
              <w:jc w:val="both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 xml:space="preserve">4313,1 </w:t>
            </w:r>
          </w:p>
          <w:p w:rsidR="00FB35AD" w:rsidRDefault="00FB35AD">
            <w:pPr>
              <w:widowControl w:val="0"/>
              <w:jc w:val="both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3385,2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100,0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60,9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18,3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5,7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5,7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5,1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5,1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3,5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3,2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3,0</w:t>
            </w:r>
          </w:p>
          <w:p w:rsidR="00FB35AD" w:rsidRDefault="00FB35AD">
            <w:pPr>
              <w:widowControl w:val="0"/>
              <w:jc w:val="both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 xml:space="preserve">3,0 </w:t>
            </w:r>
          </w:p>
          <w:p w:rsidR="00FB35AD" w:rsidRDefault="00FB35AD">
            <w:pPr>
              <w:widowControl w:val="0"/>
              <w:jc w:val="both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2,3</w:t>
            </w:r>
          </w:p>
        </w:tc>
      </w:tr>
    </w:tbl>
    <w:p w:rsidR="00FB35AD" w:rsidRDefault="00FB35AD">
      <w:pPr>
        <w:widowControl w:val="0"/>
        <w:jc w:val="both"/>
        <w:rPr>
          <w:snapToGrid w:val="0"/>
          <w:sz w:val="28"/>
        </w:rPr>
      </w:pP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Устав МВФ предусматривает, что в дополнение к собственному капиталу, являющемуся главным источником финансирования, Фонд может использовать также заемные средства. МВФ может делать заем как у государств и международных организаций, так и на мировом финансовом рынке. До настоящего времени МВФ получают международные кредиты от казначейств и центральных банков стран-членов, Швейцарии (не являвшейся до мая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 членом МВФ), а также Валютного агентства Саудовской Аравии. МВФ еще не пользовался услугами частных кредиторов.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 январе</w:t>
      </w:r>
      <w:r>
        <w:rPr>
          <w:noProof/>
          <w:snapToGrid w:val="0"/>
          <w:sz w:val="28"/>
        </w:rPr>
        <w:t xml:space="preserve"> 1962</w:t>
      </w:r>
      <w:r>
        <w:rPr>
          <w:snapToGrid w:val="0"/>
          <w:sz w:val="28"/>
        </w:rPr>
        <w:t xml:space="preserve"> г. в Париже МВФ и десять государств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Бельгия, Великобритания, Италия, Канада, Нидерланды, США, Германия, Франция, Швеция и Япония,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образовавшие "группу</w:t>
      </w:r>
      <w:r>
        <w:rPr>
          <w:noProof/>
          <w:snapToGrid w:val="0"/>
          <w:sz w:val="28"/>
        </w:rPr>
        <w:t xml:space="preserve"> 10", </w:t>
      </w:r>
      <w:r>
        <w:rPr>
          <w:snapToGrid w:val="0"/>
          <w:sz w:val="28"/>
        </w:rPr>
        <w:t>заключили Генеральное соглашение о займах</w:t>
      </w:r>
      <w:r>
        <w:rPr>
          <w:snapToGrid w:val="0"/>
          <w:sz w:val="28"/>
          <w:lang w:val="en-US"/>
        </w:rPr>
        <w:t xml:space="preserve"> (General Arrangements to Borrow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  <w:lang w:val="en-US"/>
        </w:rPr>
        <w:t xml:space="preserve"> GAB).</w:t>
      </w:r>
      <w:r>
        <w:rPr>
          <w:snapToGrid w:val="0"/>
          <w:sz w:val="28"/>
        </w:rPr>
        <w:t xml:space="preserve"> Оно предусматривает предоставление МВФ на постоянно возобновляемой основе взаймы дополнительных резервных средств на сумму до</w:t>
      </w:r>
      <w:r>
        <w:rPr>
          <w:noProof/>
          <w:snapToGrid w:val="0"/>
          <w:sz w:val="28"/>
        </w:rPr>
        <w:t xml:space="preserve"> 6</w:t>
      </w:r>
      <w:r>
        <w:rPr>
          <w:snapToGrid w:val="0"/>
          <w:sz w:val="28"/>
        </w:rPr>
        <w:t xml:space="preserve"> млрд. дол. в национальных валютах стран-участниц. Средства выдаются в том случае, если они нужны для предотвращения или решения проблем в международной валютной системе. МВФ, в свою очередь, мог предоставлять средства, полученные от одних стран-участниц соглашения, взаймы на</w:t>
      </w:r>
      <w:r>
        <w:rPr>
          <w:noProof/>
          <w:snapToGrid w:val="0"/>
          <w:sz w:val="28"/>
        </w:rPr>
        <w:t xml:space="preserve"> 3—5</w:t>
      </w:r>
      <w:r>
        <w:rPr>
          <w:snapToGrid w:val="0"/>
          <w:sz w:val="28"/>
        </w:rPr>
        <w:t xml:space="preserve"> лет другим странам-участницам. Доли пяти наиболее крупных вкладчиков</w:t>
      </w:r>
      <w:r>
        <w:rPr>
          <w:snapToGrid w:val="0"/>
          <w:sz w:val="28"/>
          <w:lang w:val="en-US"/>
        </w:rPr>
        <w:t xml:space="preserve"> GAB</w:t>
      </w:r>
      <w:r>
        <w:rPr>
          <w:snapToGrid w:val="0"/>
          <w:sz w:val="28"/>
        </w:rPr>
        <w:t xml:space="preserve"> (в млн. СДР); США</w:t>
      </w:r>
      <w:r>
        <w:rPr>
          <w:noProof/>
          <w:snapToGrid w:val="0"/>
          <w:sz w:val="28"/>
        </w:rPr>
        <w:t xml:space="preserve"> — 4250 (25%),</w:t>
      </w:r>
      <w:r>
        <w:rPr>
          <w:snapToGrid w:val="0"/>
          <w:sz w:val="28"/>
        </w:rPr>
        <w:t xml:space="preserve"> Германия</w:t>
      </w:r>
      <w:r>
        <w:rPr>
          <w:noProof/>
          <w:snapToGrid w:val="0"/>
          <w:sz w:val="28"/>
        </w:rPr>
        <w:t xml:space="preserve"> - 2380 (14%),</w:t>
      </w:r>
      <w:r>
        <w:rPr>
          <w:snapToGrid w:val="0"/>
          <w:sz w:val="28"/>
        </w:rPr>
        <w:t xml:space="preserve"> Япония</w:t>
      </w:r>
      <w:r>
        <w:rPr>
          <w:noProof/>
          <w:snapToGrid w:val="0"/>
          <w:sz w:val="28"/>
        </w:rPr>
        <w:t xml:space="preserve"> - 2125 (12,5%),</w:t>
      </w:r>
      <w:r>
        <w:rPr>
          <w:snapToGrid w:val="0"/>
          <w:sz w:val="28"/>
        </w:rPr>
        <w:t xml:space="preserve"> Великобритания и Франция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по</w:t>
      </w:r>
      <w:r>
        <w:rPr>
          <w:noProof/>
          <w:snapToGrid w:val="0"/>
          <w:sz w:val="28"/>
        </w:rPr>
        <w:t xml:space="preserve"> 1700 (10%).</w:t>
      </w:r>
      <w:r>
        <w:rPr>
          <w:snapToGrid w:val="0"/>
          <w:sz w:val="28"/>
          <w:lang w:val="en-US"/>
        </w:rPr>
        <w:t xml:space="preserve"> GAB</w:t>
      </w:r>
      <w:r>
        <w:rPr>
          <w:snapToGrid w:val="0"/>
          <w:sz w:val="28"/>
        </w:rPr>
        <w:t xml:space="preserve"> было пролонгировано до</w:t>
      </w:r>
      <w:r>
        <w:rPr>
          <w:noProof/>
          <w:snapToGrid w:val="0"/>
          <w:sz w:val="28"/>
        </w:rPr>
        <w:t xml:space="preserve"> 25</w:t>
      </w:r>
      <w:r>
        <w:rPr>
          <w:snapToGrid w:val="0"/>
          <w:sz w:val="28"/>
        </w:rPr>
        <w:t xml:space="preserve"> декабря</w:t>
      </w:r>
      <w:r>
        <w:rPr>
          <w:noProof/>
          <w:snapToGrid w:val="0"/>
          <w:sz w:val="28"/>
        </w:rPr>
        <w:t xml:space="preserve"> 1998</w:t>
      </w:r>
      <w:r>
        <w:rPr>
          <w:snapToGrid w:val="0"/>
          <w:sz w:val="28"/>
        </w:rPr>
        <w:t xml:space="preserve"> г. в объеме</w:t>
      </w:r>
      <w:r>
        <w:rPr>
          <w:noProof/>
          <w:snapToGrid w:val="0"/>
          <w:sz w:val="28"/>
        </w:rPr>
        <w:t xml:space="preserve"> 17</w:t>
      </w:r>
      <w:r>
        <w:rPr>
          <w:snapToGrid w:val="0"/>
          <w:sz w:val="28"/>
        </w:rPr>
        <w:t xml:space="preserve"> млрд. СДР.</w:t>
      </w:r>
    </w:p>
    <w:p w:rsidR="00FB35AD" w:rsidRDefault="00FB35AD">
      <w:pPr>
        <w:widowControl w:val="0"/>
        <w:ind w:left="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Кредитная деятельность МВФ</w:t>
      </w:r>
    </w:p>
    <w:p w:rsidR="00FB35AD" w:rsidRDefault="00FB35AD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МВФ за счет собственных или привлеченных ресурсов предоставляет кредиты в иностранной валюте или СДР для выравнивания платежных балансов стран-членов. Кредитные операции осуществляются только с официальными органами стран-членов Фонда: казначействами, центральными банками, валютными стабилизационными фондами. Кредиты предоставляются в форме продажи МВФ иностранной валюты на национальную (или предоставления СДР), 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Политика МВФ по отношению к отдельным странам-членам и механизмы их финансовой поддержки различаются не только по природе макроэкономических и структурных проблем отдельных стран, но и по условиям, необходимым для получения кредитов МВФ.</w:t>
      </w:r>
    </w:p>
    <w:p w:rsidR="00FB35AD" w:rsidRDefault="00FB35AD">
      <w:pPr>
        <w:widowControl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Обычные механизмы кредитования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МВФ предоставляет средства своим членам для преодоления временных трудностей платежного баланса в пределах года (с воз</w:t>
      </w:r>
      <w:r>
        <w:rPr>
          <w:snapToGrid w:val="0"/>
          <w:sz w:val="28"/>
        </w:rPr>
        <w:softHyphen/>
        <w:t>можностью продления до</w:t>
      </w:r>
      <w:r>
        <w:rPr>
          <w:noProof/>
          <w:snapToGrid w:val="0"/>
          <w:sz w:val="28"/>
        </w:rPr>
        <w:t xml:space="preserve"> 4—5</w:t>
      </w:r>
      <w:r>
        <w:rPr>
          <w:snapToGrid w:val="0"/>
          <w:sz w:val="28"/>
        </w:rPr>
        <w:t xml:space="preserve"> лет) равными кредитными траншами Размеры этих кредитов ограничиваются следующими условиями: национальная валюта страны-заемщика не должна увеличиваться в МВФ более чем на</w:t>
      </w:r>
      <w:r>
        <w:rPr>
          <w:noProof/>
          <w:snapToGrid w:val="0"/>
          <w:sz w:val="28"/>
        </w:rPr>
        <w:t xml:space="preserve"> 25%</w:t>
      </w:r>
      <w:r>
        <w:rPr>
          <w:snapToGrid w:val="0"/>
          <w:sz w:val="28"/>
        </w:rPr>
        <w:t xml:space="preserve"> от квоты в течение года и в общем объеме превышать</w:t>
      </w:r>
      <w:r>
        <w:rPr>
          <w:noProof/>
          <w:snapToGrid w:val="0"/>
          <w:sz w:val="28"/>
        </w:rPr>
        <w:t xml:space="preserve"> 200%</w:t>
      </w:r>
      <w:r>
        <w:rPr>
          <w:snapToGrid w:val="0"/>
          <w:sz w:val="28"/>
        </w:rPr>
        <w:t xml:space="preserve"> от квоты. С</w:t>
      </w:r>
      <w:r>
        <w:rPr>
          <w:noProof/>
          <w:snapToGrid w:val="0"/>
          <w:sz w:val="28"/>
        </w:rPr>
        <w:t xml:space="preserve"> 1981</w:t>
      </w:r>
      <w:r>
        <w:rPr>
          <w:snapToGrid w:val="0"/>
          <w:sz w:val="28"/>
        </w:rPr>
        <w:t xml:space="preserve"> г. процентные ставки по этому виду кредита определяются в течение каждого финансового года на базе оценок доходов, расходов и т.д.</w:t>
      </w:r>
    </w:p>
    <w:p w:rsidR="00FB35AD" w:rsidRDefault="00FB35AD">
      <w:pPr>
        <w:widowControl w:val="0"/>
        <w:ind w:left="20"/>
        <w:jc w:val="both"/>
        <w:rPr>
          <w:i/>
          <w:snapToGrid w:val="0"/>
          <w:sz w:val="28"/>
        </w:rPr>
      </w:pPr>
    </w:p>
    <w:p w:rsidR="00FB35AD" w:rsidRDefault="00FB35AD">
      <w:pPr>
        <w:widowControl w:val="0"/>
        <w:ind w:left="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Специальные механизмы кредитования</w:t>
      </w:r>
    </w:p>
    <w:p w:rsidR="00FB35AD" w:rsidRDefault="00FB35AD">
      <w:pPr>
        <w:widowControl w:val="0"/>
        <w:ind w:firstLine="567"/>
        <w:jc w:val="both"/>
        <w:rPr>
          <w:noProof/>
          <w:snapToGrid w:val="0"/>
          <w:sz w:val="28"/>
        </w:rPr>
      </w:pPr>
      <w:r>
        <w:rPr>
          <w:snapToGrid w:val="0"/>
          <w:sz w:val="28"/>
        </w:rPr>
        <w:t>В  рамках Фонда системной трансформации</w:t>
      </w:r>
      <w:r>
        <w:rPr>
          <w:snapToGrid w:val="0"/>
          <w:sz w:val="28"/>
          <w:lang w:val="en-US"/>
        </w:rPr>
        <w:t xml:space="preserve"> (Systemic Transformation Facility)</w:t>
      </w:r>
      <w:r>
        <w:rPr>
          <w:snapToGrid w:val="0"/>
          <w:sz w:val="28"/>
        </w:rPr>
        <w:t xml:space="preserve"> МВФ предоставляет странам, испытывающим трудности в торговой и платежной системах в связи с переходом к рыночной экономике, кредиты на срок до</w:t>
      </w:r>
      <w:r>
        <w:rPr>
          <w:noProof/>
          <w:snapToGrid w:val="0"/>
          <w:sz w:val="28"/>
        </w:rPr>
        <w:t xml:space="preserve"> 3</w:t>
      </w:r>
      <w:r>
        <w:rPr>
          <w:snapToGrid w:val="0"/>
          <w:sz w:val="28"/>
        </w:rPr>
        <w:t xml:space="preserve"> лет сверх обычных кредитов до</w:t>
      </w:r>
      <w:r>
        <w:rPr>
          <w:noProof/>
          <w:snapToGrid w:val="0"/>
          <w:sz w:val="28"/>
        </w:rPr>
        <w:t xml:space="preserve"> 140%</w:t>
      </w:r>
      <w:r>
        <w:rPr>
          <w:snapToGrid w:val="0"/>
          <w:sz w:val="28"/>
        </w:rPr>
        <w:t xml:space="preserve"> от квоты. Их погашение производится в течение</w:t>
      </w:r>
      <w:r>
        <w:rPr>
          <w:noProof/>
          <w:snapToGrid w:val="0"/>
          <w:sz w:val="28"/>
        </w:rPr>
        <w:t xml:space="preserve"> 4—10</w:t>
      </w:r>
      <w:r>
        <w:rPr>
          <w:snapToGrid w:val="0"/>
          <w:sz w:val="28"/>
        </w:rPr>
        <w:t xml:space="preserve"> лет (табл.</w:t>
      </w:r>
      <w:r>
        <w:rPr>
          <w:noProof/>
          <w:snapToGrid w:val="0"/>
          <w:sz w:val="28"/>
        </w:rPr>
        <w:t>).</w:t>
      </w:r>
    </w:p>
    <w:p w:rsidR="00FB35AD" w:rsidRDefault="00FB35AD">
      <w:pPr>
        <w:ind w:firstLine="567"/>
        <w:jc w:val="both"/>
        <w:rPr>
          <w:sz w:val="28"/>
          <w:lang w:val="en-US"/>
        </w:rPr>
      </w:pPr>
    </w:p>
    <w:p w:rsidR="00FB35AD" w:rsidRDefault="00FB35AD">
      <w:pPr>
        <w:widowControl w:val="0"/>
        <w:jc w:val="center"/>
        <w:rPr>
          <w:b/>
          <w:i/>
          <w:noProof/>
          <w:snapToGrid w:val="0"/>
          <w:sz w:val="28"/>
        </w:rPr>
      </w:pPr>
      <w:r>
        <w:rPr>
          <w:b/>
          <w:i/>
          <w:snapToGrid w:val="0"/>
          <w:sz w:val="28"/>
        </w:rPr>
        <w:t>Таблица</w:t>
      </w:r>
      <w:r>
        <w:rPr>
          <w:b/>
          <w:i/>
          <w:noProof/>
          <w:snapToGrid w:val="0"/>
          <w:sz w:val="28"/>
        </w:rPr>
        <w:t xml:space="preserve"> </w:t>
      </w:r>
      <w:r>
        <w:rPr>
          <w:b/>
          <w:i/>
          <w:snapToGrid w:val="0"/>
          <w:sz w:val="28"/>
        </w:rPr>
        <w:t xml:space="preserve"> распределение кредитов МВФ (в</w:t>
      </w:r>
      <w:r>
        <w:rPr>
          <w:b/>
          <w:i/>
          <w:noProof/>
          <w:snapToGrid w:val="0"/>
          <w:sz w:val="28"/>
        </w:rPr>
        <w:t xml:space="preserve"> %)</w:t>
      </w:r>
    </w:p>
    <w:p w:rsidR="00FB35AD" w:rsidRDefault="00FB35AD">
      <w:pPr>
        <w:widowControl w:val="0"/>
        <w:jc w:val="center"/>
        <w:rPr>
          <w:b/>
          <w:i/>
          <w:noProof/>
          <w:snapToGrid w:val="0"/>
          <w:sz w:val="28"/>
        </w:rPr>
      </w:pPr>
    </w:p>
    <w:tbl>
      <w:tblPr>
        <w:tblW w:w="0" w:type="auto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FB35AD">
        <w:trPr>
          <w:trHeight w:hRule="exact" w:val="4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AD" w:rsidRDefault="00FB35AD">
            <w:pPr>
              <w:widowControl w:val="0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Страны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AD" w:rsidRDefault="00FB35AD">
            <w:pPr>
              <w:widowControl w:val="0"/>
              <w:jc w:val="center"/>
              <w:rPr>
                <w:b/>
                <w:noProof/>
                <w:snapToGrid w:val="0"/>
                <w:sz w:val="28"/>
              </w:rPr>
            </w:pPr>
            <w:r>
              <w:rPr>
                <w:b/>
                <w:noProof/>
                <w:snapToGrid w:val="0"/>
                <w:sz w:val="28"/>
              </w:rPr>
              <w:t>1947—1976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AD" w:rsidRDefault="00FB35AD">
            <w:pPr>
              <w:widowControl w:val="0"/>
              <w:jc w:val="center"/>
              <w:rPr>
                <w:b/>
                <w:noProof/>
                <w:snapToGrid w:val="0"/>
                <w:sz w:val="28"/>
              </w:rPr>
            </w:pPr>
            <w:r>
              <w:rPr>
                <w:b/>
                <w:noProof/>
                <w:snapToGrid w:val="0"/>
                <w:sz w:val="28"/>
              </w:rPr>
              <w:t>1977—1991</w:t>
            </w:r>
          </w:p>
        </w:tc>
      </w:tr>
      <w:tr w:rsidR="00FB35AD">
        <w:trPr>
          <w:trHeight w:hRule="exact" w:val="7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AD" w:rsidRDefault="00FB35A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Промышленно развитые Развивающиеся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60,6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39,4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7,9</w:t>
            </w:r>
          </w:p>
          <w:p w:rsidR="00FB35AD" w:rsidRDefault="00FB35AD">
            <w:pPr>
              <w:widowControl w:val="0"/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92,1</w:t>
            </w:r>
          </w:p>
        </w:tc>
      </w:tr>
    </w:tbl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 рамках Фонда компенсационного финансирования и финансирования в случае непредвиденных обстоятельств</w:t>
      </w:r>
      <w:r>
        <w:rPr>
          <w:snapToGrid w:val="0"/>
          <w:sz w:val="28"/>
          <w:lang w:val="en-US"/>
        </w:rPr>
        <w:t xml:space="preserve"> (Compensatory and Contingency Financing Facility)</w:t>
      </w:r>
      <w:r>
        <w:rPr>
          <w:snapToGrid w:val="0"/>
          <w:sz w:val="28"/>
        </w:rPr>
        <w:t xml:space="preserve"> МВФ предоставляет финансирование до</w:t>
      </w:r>
      <w:r>
        <w:rPr>
          <w:noProof/>
          <w:snapToGrid w:val="0"/>
          <w:sz w:val="28"/>
        </w:rPr>
        <w:t xml:space="preserve"> 3—5</w:t>
      </w:r>
      <w:r>
        <w:rPr>
          <w:snapToGrid w:val="0"/>
          <w:sz w:val="28"/>
        </w:rPr>
        <w:t xml:space="preserve"> лет государствам-членам в случае понесения ими убытков при экспорте, значительном увеличении мировых цен и т.д., если эти убытки носят временный характер и не обусловлены действиями государств; при необходимости поддержания темпов реформ, проводимых в соответствии с одобренными МВФ соглашениями.</w:t>
      </w:r>
    </w:p>
    <w:p w:rsidR="00FB35AD" w:rsidRDefault="00FB35AD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С помощью системы финансирования развития сырьевых ресурсов</w:t>
      </w:r>
      <w:r>
        <w:rPr>
          <w:snapToGrid w:val="0"/>
          <w:sz w:val="28"/>
          <w:lang w:val="en-US"/>
        </w:rPr>
        <w:t xml:space="preserve"> (Buffer Stock Financing Facility)</w:t>
      </w:r>
      <w:r>
        <w:rPr>
          <w:snapToGrid w:val="0"/>
          <w:sz w:val="28"/>
        </w:rPr>
        <w:t xml:space="preserve"> МВФ может предоставлять финансовую помощь для восстановления запасов сырья в связи с неблагоприятной конъюнктурой на мировых рынках на срок до </w:t>
      </w:r>
      <w:r>
        <w:rPr>
          <w:noProof/>
          <w:snapToGrid w:val="0"/>
          <w:sz w:val="28"/>
        </w:rPr>
        <w:t>3—5</w:t>
      </w:r>
      <w:r>
        <w:rPr>
          <w:snapToGrid w:val="0"/>
          <w:sz w:val="28"/>
        </w:rPr>
        <w:t xml:space="preserve"> лет. 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  <w:r>
        <w:rPr>
          <w:snapToGrid w:val="0"/>
          <w:sz w:val="28"/>
        </w:rPr>
        <w:t>В пределах фонда структурной адаптации</w:t>
      </w:r>
      <w:r>
        <w:rPr>
          <w:snapToGrid w:val="0"/>
          <w:sz w:val="28"/>
          <w:lang w:val="en-US"/>
        </w:rPr>
        <w:t xml:space="preserve"> (Structural Adjustment Facility)</w:t>
      </w:r>
      <w:r>
        <w:rPr>
          <w:snapToGrid w:val="0"/>
          <w:sz w:val="28"/>
        </w:rPr>
        <w:t xml:space="preserve"> и расширенного фонда структурной адаптации</w:t>
      </w:r>
      <w:r>
        <w:rPr>
          <w:snapToGrid w:val="0"/>
          <w:sz w:val="28"/>
          <w:lang w:val="en-US"/>
        </w:rPr>
        <w:t xml:space="preserve"> (Enhanced Structural Adjustment Facility)</w:t>
      </w:r>
      <w:r>
        <w:rPr>
          <w:snapToGrid w:val="0"/>
          <w:sz w:val="28"/>
        </w:rPr>
        <w:t xml:space="preserve"> МВФ предоставляет возможность оказывать помощь для проведения структурных реформ в развивающихся странах с низкими доходами, а также для реализации среднесрочных макроэкономических программ.</w:t>
      </w:r>
    </w:p>
    <w:p w:rsidR="00FB35AD" w:rsidRDefault="00FB35AD">
      <w:pPr>
        <w:widowControl w:val="0"/>
        <w:ind w:firstLine="26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Техническую помощь МВФ оказывает при Институте МВФ </w:t>
      </w:r>
      <w:r>
        <w:rPr>
          <w:noProof/>
          <w:snapToGrid w:val="0"/>
          <w:sz w:val="28"/>
        </w:rPr>
        <w:t>(1964</w:t>
      </w:r>
      <w:r>
        <w:rPr>
          <w:snapToGrid w:val="0"/>
          <w:sz w:val="28"/>
        </w:rPr>
        <w:t xml:space="preserve"> г.), в котором организуются курсы и семинары по повышению квалификации государственных служащих из стран-членов МВФ.</w:t>
      </w:r>
    </w:p>
    <w:p w:rsidR="00FB35AD" w:rsidRDefault="00FB35AD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Одной из форм межгосударственного валютного и кредитного регулирования является создание специальных фондов путем заимствования ресурсов. Роль МВФ заключается в посредничестве при получении нуждающимися странами средств.</w:t>
      </w:r>
    </w:p>
    <w:p w:rsidR="00FB35AD" w:rsidRDefault="00FB35AD">
      <w:pPr>
        <w:ind w:firstLine="567"/>
        <w:jc w:val="both"/>
        <w:rPr>
          <w:snapToGrid w:val="0"/>
          <w:sz w:val="28"/>
        </w:rPr>
      </w:pPr>
    </w:p>
    <w:p w:rsidR="00FB35AD" w:rsidRDefault="00FB35AD" w:rsidP="00FB35AD">
      <w:pPr>
        <w:pStyle w:val="9"/>
        <w:numPr>
          <w:ilvl w:val="0"/>
          <w:numId w:val="43"/>
        </w:numPr>
        <w:jc w:val="left"/>
        <w:rPr>
          <w:snapToGrid w:val="0"/>
          <w:lang w:val="ru-RU"/>
        </w:rPr>
      </w:pPr>
      <w:r>
        <w:rPr>
          <w:snapToGrid w:val="0"/>
          <w:lang w:val="ru-RU"/>
        </w:rPr>
        <w:t>Всемирный банк</w:t>
      </w:r>
    </w:p>
    <w:p w:rsidR="00FB35AD" w:rsidRDefault="00FB35AD">
      <w:pPr>
        <w:pStyle w:val="2"/>
        <w:jc w:val="both"/>
        <w:rPr>
          <w:sz w:val="28"/>
        </w:rPr>
      </w:pPr>
      <w:r>
        <w:rPr>
          <w:sz w:val="28"/>
        </w:rPr>
        <w:t xml:space="preserve"> </w:t>
      </w:r>
    </w:p>
    <w:p w:rsidR="00FB35AD" w:rsidRDefault="00FB35AD">
      <w:pPr>
        <w:pStyle w:val="5"/>
        <w:framePr w:dropCap="drop" w:lines="0" w:wrap="around"/>
      </w:pPr>
      <w:r>
        <w:t>В</w:t>
      </w:r>
    </w:p>
    <w:p w:rsidR="00FB35AD" w:rsidRDefault="00FB35AD">
      <w:pPr>
        <w:jc w:val="both"/>
        <w:rPr>
          <w:sz w:val="28"/>
        </w:rPr>
      </w:pPr>
      <w:r>
        <w:rPr>
          <w:sz w:val="28"/>
        </w:rPr>
        <w:t>семирный банк был создан в 1944 г. решением Конференции ООН по валютно-финансовым вопросам. Он представляет собой совокупность ряда институтов развития и часто называется группой всемирного банка. Основные организации, входящие в эту группу : МБРР, МАР, МФК, МАИГ.</w:t>
      </w: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jc w:val="both"/>
        <w:rPr>
          <w:sz w:val="28"/>
        </w:rPr>
      </w:pPr>
    </w:p>
    <w:p w:rsidR="00FB35AD" w:rsidRDefault="00FB35AD" w:rsidP="00FB35AD">
      <w:pPr>
        <w:numPr>
          <w:ilvl w:val="0"/>
          <w:numId w:val="42"/>
        </w:numPr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>Международный банк реконструкции и развития</w:t>
      </w:r>
    </w:p>
    <w:p w:rsidR="00FB35AD" w:rsidRDefault="00FB35AD">
      <w:pPr>
        <w:pStyle w:val="5"/>
        <w:framePr w:dropCap="drop" w:lines="0" w:wrap="around"/>
        <w:rPr>
          <w:snapToGrid w:val="0"/>
        </w:rPr>
      </w:pPr>
      <w:r>
        <w:rPr>
          <w:snapToGrid w:val="0"/>
        </w:rPr>
        <w:t>И</w:t>
      </w:r>
    </w:p>
    <w:p w:rsidR="00FB35AD" w:rsidRDefault="00FB35AD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дея Международного банка реконструкции и развития (МБРР) была сформулирована на Конференции Организации Объединенных Наций по валютно-финансовым вопросам в</w:t>
      </w:r>
      <w:r>
        <w:rPr>
          <w:noProof/>
          <w:snapToGrid w:val="0"/>
          <w:sz w:val="28"/>
        </w:rPr>
        <w:t xml:space="preserve"> 1944</w:t>
      </w:r>
      <w:r>
        <w:rPr>
          <w:snapToGrid w:val="0"/>
          <w:sz w:val="28"/>
        </w:rPr>
        <w:t xml:space="preserve"> г. в Брет-тон-Вудсе (США). МБРР начал свою деятельность в</w:t>
      </w:r>
      <w:r>
        <w:rPr>
          <w:noProof/>
          <w:snapToGrid w:val="0"/>
          <w:sz w:val="28"/>
        </w:rPr>
        <w:t xml:space="preserve"> 1945</w:t>
      </w:r>
      <w:r>
        <w:rPr>
          <w:snapToGrid w:val="0"/>
          <w:sz w:val="28"/>
        </w:rPr>
        <w:t xml:space="preserve"> г. МБРР в качестве специализированного учреждения входит в систему ООН. Местопребывание МБРР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Вашингтон (США), Европейское бюро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Париж (Франция), Токийское бюро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Токио (Япония).</w:t>
      </w:r>
    </w:p>
    <w:p w:rsidR="00FB35AD" w:rsidRDefault="00FB35AD">
      <w:pPr>
        <w:widowControl w:val="0"/>
        <w:ind w:right="20" w:firstLine="280"/>
        <w:jc w:val="both"/>
        <w:rPr>
          <w:snapToGrid w:val="0"/>
          <w:sz w:val="28"/>
        </w:rPr>
      </w:pPr>
      <w:r>
        <w:rPr>
          <w:snapToGrid w:val="0"/>
          <w:sz w:val="28"/>
        </w:rPr>
        <w:t>В настоящее время Всемирный банк объединяет</w:t>
      </w:r>
      <w:r>
        <w:rPr>
          <w:noProof/>
          <w:snapToGrid w:val="0"/>
          <w:sz w:val="28"/>
        </w:rPr>
        <w:t xml:space="preserve"> 181</w:t>
      </w:r>
      <w:r>
        <w:rPr>
          <w:snapToGrid w:val="0"/>
          <w:sz w:val="28"/>
        </w:rPr>
        <w:t xml:space="preserve"> государство. Членство в МБРР открыто для государств-членов МВФ на условиях, определяемых Всемирным банком.</w:t>
      </w:r>
    </w:p>
    <w:p w:rsidR="00FB35AD" w:rsidRDefault="00FB35AD">
      <w:pPr>
        <w:widowControl w:val="0"/>
        <w:ind w:right="60"/>
        <w:jc w:val="both"/>
        <w:rPr>
          <w:b/>
          <w:i/>
          <w:noProof/>
          <w:snapToGrid w:val="0"/>
          <w:sz w:val="28"/>
        </w:rPr>
      </w:pPr>
      <w:r>
        <w:rPr>
          <w:b/>
          <w:i/>
          <w:snapToGrid w:val="0"/>
          <w:sz w:val="28"/>
        </w:rPr>
        <w:t>Цели МБРР</w:t>
      </w:r>
      <w:r>
        <w:rPr>
          <w:b/>
          <w:i/>
          <w:noProof/>
          <w:snapToGrid w:val="0"/>
          <w:sz w:val="28"/>
        </w:rPr>
        <w:t xml:space="preserve"> :</w:t>
      </w:r>
    </w:p>
    <w:p w:rsidR="00FB35AD" w:rsidRDefault="00FB35AD">
      <w:pPr>
        <w:widowControl w:val="0"/>
        <w:ind w:right="20" w:firstLine="280"/>
        <w:jc w:val="both"/>
        <w:rPr>
          <w:snapToGrid w:val="0"/>
          <w:sz w:val="28"/>
        </w:rPr>
      </w:pPr>
      <w:r>
        <w:rPr>
          <w:i/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содействие реконструкции и развитию территорий государств-членов путем поощрения капиталовложений на производственные цели;</w:t>
      </w:r>
    </w:p>
    <w:p w:rsidR="00FB35AD" w:rsidRDefault="00FB35AD">
      <w:pPr>
        <w:widowControl w:val="0"/>
        <w:ind w:firstLine="26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поощрение частных и иностранных инвестиций посредством предоставления гарантий или участия в займах и других инвестициях частных кредиторов;</w:t>
      </w:r>
    </w:p>
    <w:p w:rsidR="00FB35AD" w:rsidRDefault="00FB35AD">
      <w:pPr>
        <w:widowControl w:val="0"/>
        <w:ind w:firstLine="26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стимулирование долгосрочного сбалансированного роста международной торговли, а также поддержание сбалансированного платежного баланса путем международных инвестиций в развитие производственных ресурсов государств-членов МБРР.</w:t>
      </w:r>
    </w:p>
    <w:p w:rsidR="00FB35AD" w:rsidRDefault="00FB35AD">
      <w:pPr>
        <w:widowControl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Структура МБРР</w:t>
      </w:r>
    </w:p>
    <w:p w:rsidR="00FB35AD" w:rsidRDefault="00FB35AD">
      <w:pPr>
        <w:widowControl w:val="0"/>
        <w:ind w:firstLine="260"/>
        <w:jc w:val="both"/>
        <w:rPr>
          <w:snapToGrid w:val="0"/>
          <w:sz w:val="28"/>
        </w:rPr>
      </w:pPr>
      <w:r>
        <w:rPr>
          <w:snapToGrid w:val="0"/>
          <w:sz w:val="28"/>
        </w:rPr>
        <w:t>Совет управляющих, состоящий из назначаемых странами-членами управляющих (министров финансов или председателей центральных банков), является высшим органом МБРР. Срок полномочий управляющих, каждый из которых имеет заместителя, составляет</w:t>
      </w:r>
      <w:r>
        <w:rPr>
          <w:noProof/>
          <w:snapToGrid w:val="0"/>
          <w:sz w:val="28"/>
        </w:rPr>
        <w:t xml:space="preserve"> 5</w:t>
      </w:r>
      <w:r>
        <w:rPr>
          <w:snapToGrid w:val="0"/>
          <w:sz w:val="28"/>
        </w:rPr>
        <w:t xml:space="preserve"> лет (возможно повторное назначение). Совет управляющих заседает обычно один раз в год (ежегодное собрание). Он может передать часть своих полномочий директорам-исполнителям (за исключением решений о приеме новых членов, повышении или снижении уставного капитала, прекращении деятельности МБРР и др.). Решения принимаются простым большинством голосов, по важным вопросам необходимо собрать</w:t>
      </w:r>
      <w:r>
        <w:rPr>
          <w:noProof/>
          <w:snapToGrid w:val="0"/>
          <w:sz w:val="28"/>
        </w:rPr>
        <w:t xml:space="preserve"> 85%.</w:t>
      </w:r>
      <w:r>
        <w:rPr>
          <w:snapToGrid w:val="0"/>
          <w:sz w:val="28"/>
        </w:rPr>
        <w:t xml:space="preserve"> При голосовании в Совете управляющих вес голоса каждой страны зависит от ее доли в капитале Банка (США имеют более</w:t>
      </w:r>
      <w:r>
        <w:rPr>
          <w:noProof/>
          <w:snapToGrid w:val="0"/>
          <w:sz w:val="28"/>
        </w:rPr>
        <w:t xml:space="preserve"> 17%</w:t>
      </w:r>
      <w:r>
        <w:rPr>
          <w:snapToGrid w:val="0"/>
          <w:sz w:val="28"/>
        </w:rPr>
        <w:t xml:space="preserve"> голосов, т.е. столько же, сколько имеют</w:t>
      </w:r>
      <w:r>
        <w:rPr>
          <w:noProof/>
          <w:snapToGrid w:val="0"/>
          <w:sz w:val="28"/>
        </w:rPr>
        <w:t xml:space="preserve"> 140</w:t>
      </w:r>
      <w:r>
        <w:rPr>
          <w:snapToGrid w:val="0"/>
          <w:sz w:val="28"/>
        </w:rPr>
        <w:t xml:space="preserve"> развивающихся стран. (Квоты России и Украины составляют</w:t>
      </w:r>
      <w:r>
        <w:rPr>
          <w:noProof/>
          <w:snapToGrid w:val="0"/>
          <w:sz w:val="28"/>
        </w:rPr>
        <w:t xml:space="preserve"> 1,8</w:t>
      </w:r>
      <w:r>
        <w:rPr>
          <w:snapToGrid w:val="0"/>
          <w:sz w:val="28"/>
        </w:rPr>
        <w:t xml:space="preserve"> и</w:t>
      </w:r>
      <w:r>
        <w:rPr>
          <w:noProof/>
          <w:snapToGrid w:val="0"/>
          <w:sz w:val="28"/>
        </w:rPr>
        <w:t xml:space="preserve"> 0,8%</w:t>
      </w:r>
      <w:r>
        <w:rPr>
          <w:snapToGrid w:val="0"/>
          <w:sz w:val="28"/>
        </w:rPr>
        <w:t xml:space="preserve"> соответственно).</w:t>
      </w:r>
    </w:p>
    <w:p w:rsidR="00FB35AD" w:rsidRDefault="00FB35AD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Директора-исполнители (избираются на</w:t>
      </w:r>
      <w:r>
        <w:rPr>
          <w:noProof/>
          <w:snapToGrid w:val="0"/>
          <w:sz w:val="28"/>
        </w:rPr>
        <w:t xml:space="preserve"> 2</w:t>
      </w:r>
      <w:r>
        <w:rPr>
          <w:snapToGrid w:val="0"/>
          <w:sz w:val="28"/>
        </w:rPr>
        <w:t xml:space="preserve"> года) отвечают за текущую работу. Из двадцати четырех директоров пять назначаются пятью членами МБРР (Великобритания, Германия, США, Франция, Япония), имеющими наибольшую долю в его капитале, остальные избираются управляющими с учетом их принадлежности к определенной группе стран. Каждый из остальных директоров представляет несколько стран, за исключением Китая и Саудовской Аравии, которые представлены своим собственным директором-исполнителем. Директора-исполнители осуществляют возложенные на них полномочия, опираясь на помощь комитетов. Каждый директор назначает себе заместителя на случай своего отсутствия.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Президент избирается директорами-исполнителями сроком на </w:t>
      </w:r>
      <w:r>
        <w:rPr>
          <w:noProof/>
          <w:snapToGrid w:val="0"/>
          <w:sz w:val="28"/>
        </w:rPr>
        <w:t>5</w:t>
      </w:r>
      <w:r>
        <w:rPr>
          <w:snapToGrid w:val="0"/>
          <w:sz w:val="28"/>
        </w:rPr>
        <w:t xml:space="preserve"> лет; он не может быть ни управляющим, ни директором, ни представителем управляющего или директора. Президент ведет текущие дела Всемирного банка.</w:t>
      </w:r>
    </w:p>
    <w:p w:rsidR="00FB35AD" w:rsidRDefault="00FB35AD">
      <w:pPr>
        <w:widowControl w:val="0"/>
        <w:ind w:left="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Источники финансирования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Капитал МБРР на момент создания был образован государствами-членами в размере</w:t>
      </w:r>
      <w:r>
        <w:rPr>
          <w:noProof/>
          <w:snapToGrid w:val="0"/>
          <w:sz w:val="28"/>
        </w:rPr>
        <w:t xml:space="preserve"> 10</w:t>
      </w:r>
      <w:r>
        <w:rPr>
          <w:snapToGrid w:val="0"/>
          <w:sz w:val="28"/>
        </w:rPr>
        <w:t xml:space="preserve"> млрд. дол. В</w:t>
      </w:r>
      <w:r>
        <w:rPr>
          <w:noProof/>
          <w:snapToGrid w:val="0"/>
          <w:sz w:val="28"/>
        </w:rPr>
        <w:t xml:space="preserve"> 1994</w:t>
      </w:r>
      <w:r>
        <w:rPr>
          <w:snapToGrid w:val="0"/>
          <w:sz w:val="28"/>
        </w:rPr>
        <w:t xml:space="preserve"> г. капитал Всемирного банка составил</w:t>
      </w:r>
      <w:r>
        <w:rPr>
          <w:noProof/>
          <w:snapToGrid w:val="0"/>
          <w:sz w:val="28"/>
        </w:rPr>
        <w:t xml:space="preserve"> 165</w:t>
      </w:r>
      <w:r>
        <w:rPr>
          <w:snapToGrid w:val="0"/>
          <w:sz w:val="28"/>
        </w:rPr>
        <w:t xml:space="preserve"> млрд. дол. (согласно Уставу МБРР, капитал должен составлять</w:t>
      </w:r>
      <w:r>
        <w:rPr>
          <w:noProof/>
          <w:snapToGrid w:val="0"/>
          <w:sz w:val="28"/>
        </w:rPr>
        <w:t xml:space="preserve"> 184</w:t>
      </w:r>
      <w:r>
        <w:rPr>
          <w:snapToGrid w:val="0"/>
          <w:sz w:val="28"/>
        </w:rPr>
        <w:t xml:space="preserve"> млрд. дол.). МБРР финансирует свои кредитные операции из собственного капитала, заемных средств с международных финансовых рынков (в основном с американского рынка), аккумулированных с помощью облигаций</w:t>
      </w:r>
      <w:r>
        <w:rPr>
          <w:noProof/>
          <w:snapToGrid w:val="0"/>
          <w:sz w:val="28"/>
        </w:rPr>
        <w:t xml:space="preserve"> (7%</w:t>
      </w:r>
      <w:r>
        <w:rPr>
          <w:snapToGrid w:val="0"/>
          <w:sz w:val="28"/>
        </w:rPr>
        <w:t xml:space="preserve"> годовых), государств и международных организаций, а также за счет платежей в погашение ранее предоставленных займов.</w:t>
      </w:r>
    </w:p>
    <w:p w:rsidR="00FB35AD" w:rsidRDefault="00FB35AD">
      <w:pPr>
        <w:widowControl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Деятельность</w:t>
      </w:r>
    </w:p>
    <w:p w:rsidR="00FB35AD" w:rsidRDefault="00FB35AD">
      <w:pPr>
        <w:widowControl w:val="0"/>
        <w:ind w:right="2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Первоначально МБРР был призван с помощью аккумулированных бюджетных средств промышленно развитых стран и привлекаемых капиталов инвесторов стимулировать частные инвестиции в странах Западной Европы, экономика которых значительно пострадала во время второй мировой войны. С середины 50-х гг., когда хозяйство стран Западной Европы стабилизировалось, деятельность МБРР во все большей степени стала ориентироваться на страны Азии, Африки и Латинской Америки с целью стимулировать развитие их экономики. Традиционно деятельность МБРР заключается в предоставлении кредитов для расширения производственных мощностей стран-членов Всемирного банка, которые выдаются обычно сроком до</w:t>
      </w:r>
      <w:r>
        <w:rPr>
          <w:noProof/>
          <w:snapToGrid w:val="0"/>
          <w:sz w:val="28"/>
        </w:rPr>
        <w:t xml:space="preserve"> 20</w:t>
      </w:r>
      <w:r>
        <w:rPr>
          <w:snapToGrid w:val="0"/>
          <w:sz w:val="28"/>
        </w:rPr>
        <w:t xml:space="preserve"> лет (льготный период</w:t>
      </w:r>
      <w:r>
        <w:rPr>
          <w:noProof/>
          <w:snapToGrid w:val="0"/>
          <w:sz w:val="28"/>
        </w:rPr>
        <w:t xml:space="preserve"> — 5</w:t>
      </w:r>
      <w:r>
        <w:rPr>
          <w:snapToGrid w:val="0"/>
          <w:sz w:val="28"/>
        </w:rPr>
        <w:t xml:space="preserve"> лет) под гарантию правительств ею стран-членов. Обычно МБРР предоставляет займы в размере</w:t>
      </w:r>
      <w:r>
        <w:rPr>
          <w:noProof/>
          <w:snapToGrid w:val="0"/>
          <w:sz w:val="28"/>
        </w:rPr>
        <w:t xml:space="preserve"> 15</w:t>
      </w:r>
      <w:r>
        <w:rPr>
          <w:snapToGrid w:val="0"/>
          <w:sz w:val="28"/>
        </w:rPr>
        <w:t xml:space="preserve"> млрд. дол. в год, процент по ним взимается на уровне ставок мировых финансовых рынков (ставка по кредиту в среднем на</w:t>
      </w:r>
      <w:r>
        <w:rPr>
          <w:noProof/>
          <w:snapToGrid w:val="0"/>
          <w:sz w:val="28"/>
        </w:rPr>
        <w:t xml:space="preserve"> 0,5%</w:t>
      </w:r>
      <w:r>
        <w:rPr>
          <w:snapToGrid w:val="0"/>
          <w:sz w:val="28"/>
        </w:rPr>
        <w:t xml:space="preserve"> превышает стоимость заемных средств и изменяется по полугодиям: в</w:t>
      </w:r>
      <w:r>
        <w:rPr>
          <w:noProof/>
          <w:snapToGrid w:val="0"/>
          <w:sz w:val="28"/>
        </w:rPr>
        <w:t xml:space="preserve"> 1993</w:t>
      </w:r>
      <w:r>
        <w:rPr>
          <w:snapToGrid w:val="0"/>
          <w:sz w:val="28"/>
        </w:rPr>
        <w:t xml:space="preserve"> г. ставка составляла</w:t>
      </w:r>
      <w:r>
        <w:rPr>
          <w:noProof/>
          <w:snapToGrid w:val="0"/>
          <w:sz w:val="28"/>
        </w:rPr>
        <w:t xml:space="preserve"> 7,43%</w:t>
      </w:r>
      <w:r>
        <w:rPr>
          <w:snapToGrid w:val="0"/>
          <w:sz w:val="28"/>
        </w:rPr>
        <w:t xml:space="preserve"> годовых). Общая сумма кредитов, предоставленных МБРР за период его деятельности, достигла</w:t>
      </w:r>
      <w:r>
        <w:rPr>
          <w:noProof/>
          <w:snapToGrid w:val="0"/>
          <w:sz w:val="28"/>
        </w:rPr>
        <w:t xml:space="preserve"> 235</w:t>
      </w:r>
      <w:r>
        <w:rPr>
          <w:snapToGrid w:val="0"/>
          <w:sz w:val="28"/>
        </w:rPr>
        <w:t xml:space="preserve"> млрд. дол.</w:t>
      </w:r>
      <w:r>
        <w:rPr>
          <w:noProof/>
          <w:snapToGrid w:val="0"/>
          <w:sz w:val="28"/>
        </w:rPr>
        <w:t xml:space="preserve"> (1/3</w:t>
      </w:r>
      <w:r>
        <w:rPr>
          <w:snapToGrid w:val="0"/>
          <w:sz w:val="28"/>
        </w:rPr>
        <w:t xml:space="preserve"> кредитов приходится на</w:t>
      </w:r>
      <w:r>
        <w:rPr>
          <w:noProof/>
          <w:snapToGrid w:val="0"/>
          <w:sz w:val="28"/>
        </w:rPr>
        <w:t xml:space="preserve"> 1989—1993</w:t>
      </w:r>
      <w:r>
        <w:rPr>
          <w:snapToGrid w:val="0"/>
          <w:sz w:val="28"/>
        </w:rPr>
        <w:t>гг.).</w:t>
      </w:r>
    </w:p>
    <w:p w:rsidR="00FB35AD" w:rsidRDefault="00FB35AD">
      <w:pPr>
        <w:widowControl w:val="0"/>
        <w:ind w:firstLine="567"/>
        <w:jc w:val="both"/>
        <w:rPr>
          <w:noProof/>
          <w:snapToGrid w:val="0"/>
          <w:sz w:val="28"/>
        </w:rPr>
      </w:pPr>
      <w:r>
        <w:rPr>
          <w:snapToGrid w:val="0"/>
          <w:sz w:val="28"/>
        </w:rPr>
        <w:t>Необходимо подчеркнуть, что своими кредитами Банк покрывает лишь</w:t>
      </w:r>
      <w:r>
        <w:rPr>
          <w:noProof/>
          <w:snapToGrid w:val="0"/>
          <w:sz w:val="28"/>
        </w:rPr>
        <w:t xml:space="preserve"> 30%</w:t>
      </w:r>
      <w:r>
        <w:rPr>
          <w:snapToGrid w:val="0"/>
          <w:sz w:val="28"/>
        </w:rPr>
        <w:t xml:space="preserve"> от стоимости объекта. Наибольшая часть его кредитов направляется в отрасли инфраструктуры: энергетику, транспорт и связь. Однако с середины 80-х гг. МБРР увеличил долю средств, направляемых в сельское хозяйство (до</w:t>
      </w:r>
      <w:r>
        <w:rPr>
          <w:noProof/>
          <w:snapToGrid w:val="0"/>
          <w:sz w:val="28"/>
        </w:rPr>
        <w:t xml:space="preserve"> 20%),</w:t>
      </w:r>
      <w:r>
        <w:rPr>
          <w:snapToGrid w:val="0"/>
          <w:sz w:val="28"/>
        </w:rPr>
        <w:t xml:space="preserve"> здравоохране</w:t>
      </w:r>
      <w:r>
        <w:rPr>
          <w:snapToGrid w:val="0"/>
          <w:sz w:val="28"/>
        </w:rPr>
        <w:softHyphen/>
        <w:t>ние и образование. Кредиты МБРР, направляемые в промышлен</w:t>
      </w:r>
      <w:r>
        <w:rPr>
          <w:snapToGrid w:val="0"/>
          <w:sz w:val="28"/>
        </w:rPr>
        <w:softHyphen/>
        <w:t>ность, составляют менее</w:t>
      </w:r>
      <w:r>
        <w:rPr>
          <w:noProof/>
          <w:snapToGrid w:val="0"/>
          <w:sz w:val="28"/>
        </w:rPr>
        <w:t xml:space="preserve"> 15%.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До одной трети кредитов МБРР предоставляет в форме совместного финансирования, при котором инвесторы получают ряд выгод, например, экспертизу проекта и гарантию по возврату кредита обеспечивает МБРР. Кроме того, МБРР предоставляет гарантии по долгосрочным кредитам других банков. При этом он требует обязательного предоставления ему информации о финансовом положении страны-заемщика, кредитуемых объектах и содержании миссии банка, обследующей эти объекты.</w:t>
      </w:r>
    </w:p>
    <w:p w:rsidR="00FB35AD" w:rsidRDefault="00FB35AD">
      <w:pPr>
        <w:ind w:firstLine="567"/>
        <w:jc w:val="both"/>
        <w:rPr>
          <w:noProof/>
          <w:snapToGrid w:val="0"/>
          <w:sz w:val="28"/>
        </w:rPr>
      </w:pPr>
      <w:r>
        <w:rPr>
          <w:snapToGrid w:val="0"/>
          <w:sz w:val="28"/>
        </w:rPr>
        <w:t xml:space="preserve">МБРР постоянно занимается проблемой урегулирования внешнего долга развивающихся стран. Кредитами МБРР могут пользоваться только наиболее развитые из развивающихся стран (Мексика, Индия, Бразилия, Индонезия, Турция, Китай, Филиппины, Аргентина, Южная Корея и Колумбия), которым предоставлено </w:t>
      </w:r>
      <w:r>
        <w:rPr>
          <w:noProof/>
          <w:snapToGrid w:val="0"/>
          <w:sz w:val="28"/>
        </w:rPr>
        <w:t>137</w:t>
      </w:r>
      <w:r>
        <w:rPr>
          <w:snapToGrid w:val="0"/>
          <w:sz w:val="28"/>
        </w:rPr>
        <w:t xml:space="preserve"> млрд. дол.</w:t>
      </w:r>
      <w:r>
        <w:rPr>
          <w:noProof/>
          <w:snapToGrid w:val="0"/>
          <w:sz w:val="28"/>
        </w:rPr>
        <w:t xml:space="preserve"> (60%</w:t>
      </w:r>
      <w:r>
        <w:rPr>
          <w:snapToGrid w:val="0"/>
          <w:sz w:val="28"/>
        </w:rPr>
        <w:t xml:space="preserve"> от всех кредитов МБРР). При непосредственной поддержке Международного валютного фонда МБРР удалось восстановить международную кредитоспособность крупнейших мировых должников, внешняя задолженность которых в</w:t>
      </w:r>
      <w:r>
        <w:rPr>
          <w:noProof/>
          <w:snapToGrid w:val="0"/>
          <w:sz w:val="28"/>
        </w:rPr>
        <w:t xml:space="preserve"> 1993</w:t>
      </w:r>
      <w:r>
        <w:rPr>
          <w:snapToGrid w:val="0"/>
          <w:sz w:val="28"/>
        </w:rPr>
        <w:t xml:space="preserve"> г. была следующей: Аргентина</w:t>
      </w:r>
      <w:r>
        <w:rPr>
          <w:noProof/>
          <w:snapToGrid w:val="0"/>
          <w:sz w:val="28"/>
        </w:rPr>
        <w:t xml:space="preserve"> — 74,5</w:t>
      </w:r>
      <w:r>
        <w:rPr>
          <w:snapToGrid w:val="0"/>
          <w:sz w:val="28"/>
        </w:rPr>
        <w:t xml:space="preserve"> млрд. дол., Бразилия</w:t>
      </w:r>
      <w:r>
        <w:rPr>
          <w:noProof/>
          <w:snapToGrid w:val="0"/>
          <w:sz w:val="28"/>
        </w:rPr>
        <w:t xml:space="preserve"> — 132,7</w:t>
      </w:r>
      <w:r>
        <w:rPr>
          <w:snapToGrid w:val="0"/>
          <w:sz w:val="28"/>
        </w:rPr>
        <w:t xml:space="preserve"> млрд. дол., Индонезия</w:t>
      </w:r>
      <w:r>
        <w:rPr>
          <w:noProof/>
          <w:snapToGrid w:val="0"/>
          <w:sz w:val="28"/>
        </w:rPr>
        <w:t xml:space="preserve"> — 89,5</w:t>
      </w:r>
      <w:r>
        <w:rPr>
          <w:snapToGrid w:val="0"/>
          <w:sz w:val="28"/>
        </w:rPr>
        <w:t xml:space="preserve"> млрд. дол., Мексика</w:t>
      </w:r>
      <w:r>
        <w:rPr>
          <w:noProof/>
          <w:snapToGrid w:val="0"/>
          <w:sz w:val="28"/>
        </w:rPr>
        <w:t xml:space="preserve"> — 118</w:t>
      </w:r>
      <w:r>
        <w:rPr>
          <w:snapToGrid w:val="0"/>
          <w:sz w:val="28"/>
        </w:rPr>
        <w:t xml:space="preserve"> млрд. дол., Польша</w:t>
      </w:r>
      <w:r>
        <w:rPr>
          <w:noProof/>
          <w:snapToGrid w:val="0"/>
          <w:sz w:val="28"/>
        </w:rPr>
        <w:t xml:space="preserve"> - 45,3</w:t>
      </w:r>
      <w:r>
        <w:rPr>
          <w:snapToGrid w:val="0"/>
          <w:sz w:val="28"/>
        </w:rPr>
        <w:t xml:space="preserve"> млрд. дол., Турция</w:t>
      </w:r>
      <w:r>
        <w:rPr>
          <w:noProof/>
          <w:snapToGrid w:val="0"/>
          <w:sz w:val="28"/>
        </w:rPr>
        <w:t xml:space="preserve"> - 67,7</w:t>
      </w:r>
      <w:r>
        <w:rPr>
          <w:snapToGrid w:val="0"/>
          <w:sz w:val="28"/>
        </w:rPr>
        <w:t xml:space="preserve"> млрд. дол. О значении МВФ и МБРР можно судить и по тому обстоятельству, что начиная с 60-х гг. преодолеть гиперинфляцию смогли только те страны, которые сотрудничали с этими институтами, например Боливия</w:t>
      </w:r>
      <w:r>
        <w:rPr>
          <w:noProof/>
          <w:snapToGrid w:val="0"/>
          <w:sz w:val="28"/>
        </w:rPr>
        <w:t xml:space="preserve"> (11750%),</w:t>
      </w:r>
      <w:r>
        <w:rPr>
          <w:snapToGrid w:val="0"/>
          <w:sz w:val="28"/>
        </w:rPr>
        <w:t xml:space="preserve"> Аргентина</w:t>
      </w:r>
      <w:r>
        <w:rPr>
          <w:noProof/>
          <w:snapToGrid w:val="0"/>
          <w:sz w:val="28"/>
        </w:rPr>
        <w:t xml:space="preserve"> (3080%),</w:t>
      </w:r>
      <w:r>
        <w:rPr>
          <w:snapToGrid w:val="0"/>
          <w:sz w:val="28"/>
        </w:rPr>
        <w:t xml:space="preserve"> Индонезия</w:t>
      </w:r>
      <w:r>
        <w:rPr>
          <w:noProof/>
          <w:snapToGrid w:val="0"/>
          <w:sz w:val="28"/>
        </w:rPr>
        <w:t xml:space="preserve"> (3106%)</w:t>
      </w:r>
      <w:r>
        <w:rPr>
          <w:snapToGrid w:val="0"/>
          <w:sz w:val="28"/>
        </w:rPr>
        <w:t xml:space="preserve"> и Польша </w:t>
      </w:r>
      <w:r>
        <w:rPr>
          <w:noProof/>
          <w:snapToGrid w:val="0"/>
          <w:sz w:val="28"/>
        </w:rPr>
        <w:t>(586%).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 связи с изменившейся экономической и политической ситуацией в мире с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 Всемирный банк пересматривает свою роль и структуру в связи с тенденцией к ухудшению качества портфеля займов. МБРР изменил приоритеты в выдаче новых займов, пересмотрел весь портфель проектов по каждой стране-должнику. В результате произошло качественное изменение портфеля займов Банка: из него практически исчезли проекты, осуществляемые надолго уехавшими из страны липами- сократились займы на создание крупной инфраструктуры типа дамб и портов; больше кредитов стало выделяться под социальные программы в области образования, здравоохранения и прав женщин. Кроме того Всемирный банк сделал новый акцент на частный сектор. Хотя возможности частного сектора в экономическом развитии не ос</w:t>
      </w:r>
      <w:r>
        <w:rPr>
          <w:snapToGrid w:val="0"/>
          <w:sz w:val="28"/>
        </w:rPr>
        <w:softHyphen/>
        <w:t>париваются, МБРР находится в затруднительном положении, по</w:t>
      </w:r>
      <w:r>
        <w:rPr>
          <w:snapToGrid w:val="0"/>
          <w:sz w:val="28"/>
        </w:rPr>
        <w:softHyphen/>
        <w:t>скольку эти функции относятся к Международной финансовой корпорации (МФК) для работы с частным сектором, а МБРР предоставляет кредиты, как правило, субъектам международных публичных финансов. Тем не менее Банк стремится к созданию благоприятных для частного сектора условий в развивающихся странах.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Банк выдает структурные кредиты для регулирования национальной экономики, оздоровления платежного баланса государств Центральной и Восточной Европы, СНГ, прибалтийских государств.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  <w:r>
        <w:rPr>
          <w:snapToGrid w:val="0"/>
          <w:sz w:val="28"/>
        </w:rPr>
        <w:t>Важным этапом в развитии экологического направления деятельности МБРР явилась Конференция ООН по окружающей среде и развитию в Рио-де-Жанейро (июнь,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г.). Целями экологической политики Банка являются: </w:t>
      </w:r>
    </w:p>
    <w:p w:rsidR="00FB35AD" w:rsidRDefault="00FB35AD">
      <w:pPr>
        <w:widowControl w:val="0"/>
        <w:ind w:firstLine="280"/>
        <w:jc w:val="both"/>
        <w:rPr>
          <w:i/>
          <w:snapToGrid w:val="0"/>
          <w:sz w:val="28"/>
        </w:rPr>
      </w:pPr>
      <w:r>
        <w:rPr>
          <w:i/>
          <w:noProof/>
          <w:snapToGrid w:val="0"/>
          <w:sz w:val="28"/>
        </w:rPr>
        <w:t>1)</w:t>
      </w:r>
      <w:r>
        <w:rPr>
          <w:i/>
          <w:snapToGrid w:val="0"/>
          <w:sz w:val="28"/>
        </w:rPr>
        <w:t xml:space="preserve"> помощь членам МБРР в определении приоритетов национальных экологических политик; создание эффективной институциональной, правовой, управленческой, информационной и кадровой инфраструктуры, в рамках которой должна формироваться и реализовываться национальная экологическая политика (экологические проекты по линии технической помощи);</w:t>
      </w:r>
    </w:p>
    <w:p w:rsidR="00FB35AD" w:rsidRDefault="00FB35AD">
      <w:pPr>
        <w:widowControl w:val="0"/>
        <w:ind w:right="20" w:firstLine="280"/>
        <w:jc w:val="both"/>
        <w:rPr>
          <w:i/>
          <w:snapToGrid w:val="0"/>
          <w:sz w:val="28"/>
        </w:rPr>
      </w:pPr>
      <w:r>
        <w:rPr>
          <w:i/>
          <w:noProof/>
          <w:snapToGrid w:val="0"/>
          <w:sz w:val="28"/>
        </w:rPr>
        <w:t>2)</w:t>
      </w:r>
      <w:r>
        <w:rPr>
          <w:i/>
          <w:snapToGrid w:val="0"/>
          <w:sz w:val="28"/>
        </w:rPr>
        <w:t xml:space="preserve"> инвестиции в проекты так называемого "двойного эффекта" т.е. проекты, которые улучшают (сохраняют) окружающую природную среду и обеспечивают коммерческую прибыль;</w:t>
      </w:r>
    </w:p>
    <w:p w:rsidR="00FB35AD" w:rsidRDefault="00FB35AD">
      <w:pPr>
        <w:widowControl w:val="0"/>
        <w:ind w:right="20" w:firstLine="280"/>
        <w:jc w:val="both"/>
        <w:rPr>
          <w:i/>
          <w:snapToGrid w:val="0"/>
          <w:sz w:val="28"/>
        </w:rPr>
      </w:pPr>
      <w:r>
        <w:rPr>
          <w:i/>
          <w:noProof/>
          <w:snapToGrid w:val="0"/>
          <w:sz w:val="28"/>
        </w:rPr>
        <w:t>3)</w:t>
      </w:r>
      <w:r>
        <w:rPr>
          <w:i/>
          <w:snapToGrid w:val="0"/>
          <w:sz w:val="28"/>
        </w:rPr>
        <w:t xml:space="preserve"> сведение к минимуму негативных экологических эффектов при осуществлении кредитно-инвестиционных операций;</w:t>
      </w:r>
    </w:p>
    <w:p w:rsidR="00FB35AD" w:rsidRDefault="00FB35AD">
      <w:pPr>
        <w:ind w:firstLine="280"/>
        <w:jc w:val="both"/>
        <w:rPr>
          <w:i/>
          <w:snapToGrid w:val="0"/>
          <w:sz w:val="28"/>
        </w:rPr>
      </w:pPr>
      <w:r>
        <w:rPr>
          <w:i/>
          <w:noProof/>
          <w:snapToGrid w:val="0"/>
          <w:sz w:val="28"/>
        </w:rPr>
        <w:t>4)</w:t>
      </w:r>
      <w:r>
        <w:rPr>
          <w:i/>
          <w:snapToGrid w:val="0"/>
          <w:sz w:val="28"/>
        </w:rPr>
        <w:t xml:space="preserve"> участие в решении глобальных экологических проблем с помощью Глобального экологического фонда</w:t>
      </w:r>
    </w:p>
    <w:p w:rsidR="00FB35AD" w:rsidRDefault="00FB35AD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Практически все проекты, поступающие на рассмотрение Банка, проходят экологическую оценку (ЭО), которая регламентируется документом </w:t>
      </w:r>
      <w:r>
        <w:rPr>
          <w:b/>
          <w:i/>
          <w:snapToGrid w:val="0"/>
          <w:sz w:val="28"/>
        </w:rPr>
        <w:t>"Операционная директива по экологической оценке".</w:t>
      </w:r>
      <w:r>
        <w:rPr>
          <w:snapToGrid w:val="0"/>
          <w:sz w:val="28"/>
        </w:rPr>
        <w:t xml:space="preserve"> </w:t>
      </w:r>
    </w:p>
    <w:p w:rsidR="00FB35AD" w:rsidRDefault="00FB35AD">
      <w:pPr>
        <w:ind w:firstLine="567"/>
        <w:jc w:val="both"/>
        <w:rPr>
          <w:snapToGrid w:val="0"/>
          <w:sz w:val="28"/>
        </w:rPr>
      </w:pPr>
    </w:p>
    <w:p w:rsidR="00FB35AD" w:rsidRDefault="00FB35AD">
      <w:pPr>
        <w:ind w:firstLine="567"/>
        <w:jc w:val="both"/>
        <w:rPr>
          <w:snapToGrid w:val="0"/>
          <w:sz w:val="28"/>
        </w:rPr>
      </w:pPr>
    </w:p>
    <w:p w:rsidR="00FB35AD" w:rsidRDefault="00FB35AD">
      <w:pPr>
        <w:ind w:firstLine="567"/>
        <w:jc w:val="both"/>
        <w:rPr>
          <w:snapToGrid w:val="0"/>
          <w:sz w:val="28"/>
        </w:rPr>
      </w:pPr>
    </w:p>
    <w:p w:rsidR="00FB35AD" w:rsidRDefault="00FB35AD">
      <w:pPr>
        <w:ind w:firstLine="567"/>
        <w:jc w:val="both"/>
        <w:rPr>
          <w:snapToGrid w:val="0"/>
          <w:sz w:val="28"/>
        </w:rPr>
      </w:pPr>
    </w:p>
    <w:p w:rsidR="00FB35AD" w:rsidRDefault="00FB35AD" w:rsidP="00FB35AD">
      <w:pPr>
        <w:pStyle w:val="9"/>
        <w:numPr>
          <w:ilvl w:val="0"/>
          <w:numId w:val="44"/>
        </w:numPr>
        <w:jc w:val="left"/>
        <w:rPr>
          <w:snapToGrid w:val="0"/>
          <w:lang w:val="ru-RU"/>
        </w:rPr>
      </w:pPr>
      <w:r>
        <w:rPr>
          <w:snapToGrid w:val="0"/>
          <w:lang w:val="ru-RU"/>
        </w:rPr>
        <w:t>Международная ассоциация развития</w:t>
      </w:r>
    </w:p>
    <w:p w:rsidR="00FB35AD" w:rsidRDefault="00FB35AD"/>
    <w:p w:rsidR="00FB35AD" w:rsidRDefault="00FB35AD">
      <w:pPr>
        <w:pStyle w:val="5"/>
        <w:framePr w:dropCap="drop" w:lines="0" w:wrap="around"/>
        <w:rPr>
          <w:snapToGrid w:val="0"/>
        </w:rPr>
      </w:pPr>
      <w:r>
        <w:rPr>
          <w:snapToGrid w:val="0"/>
        </w:rPr>
        <w:t>М</w:t>
      </w:r>
    </w:p>
    <w:p w:rsidR="00FB35AD" w:rsidRDefault="00FB35AD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еждународная ассоциация развития</w:t>
      </w:r>
      <w:r>
        <w:rPr>
          <w:snapToGrid w:val="0"/>
          <w:sz w:val="28"/>
          <w:lang w:val="en-US"/>
        </w:rPr>
        <w:t xml:space="preserve"> (MAP)</w:t>
      </w:r>
      <w:r>
        <w:rPr>
          <w:snapToGrid w:val="0"/>
          <w:sz w:val="28"/>
        </w:rPr>
        <w:t xml:space="preserve"> была создана в</w:t>
      </w:r>
      <w:r>
        <w:rPr>
          <w:noProof/>
          <w:snapToGrid w:val="0"/>
          <w:sz w:val="28"/>
        </w:rPr>
        <w:t xml:space="preserve"> 1960</w:t>
      </w:r>
      <w:r>
        <w:rPr>
          <w:snapToGrid w:val="0"/>
          <w:sz w:val="28"/>
        </w:rPr>
        <w:t xml:space="preserve"> г. как дочерняя организация МБРР. Она является специа</w:t>
      </w:r>
      <w:r>
        <w:rPr>
          <w:snapToGrid w:val="0"/>
          <w:sz w:val="28"/>
        </w:rPr>
        <w:softHyphen/>
        <w:t>лизированным учреждением ООН. Местопребывание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Вашингтон (США). В МАР входят</w:t>
      </w:r>
      <w:r>
        <w:rPr>
          <w:noProof/>
          <w:snapToGrid w:val="0"/>
          <w:sz w:val="28"/>
        </w:rPr>
        <w:t xml:space="preserve"> 156</w:t>
      </w:r>
      <w:r>
        <w:rPr>
          <w:snapToGrid w:val="0"/>
          <w:sz w:val="28"/>
        </w:rPr>
        <w:t xml:space="preserve"> государств-членов.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MAP</w:t>
      </w:r>
      <w:r>
        <w:rPr>
          <w:snapToGrid w:val="0"/>
          <w:sz w:val="28"/>
        </w:rPr>
        <w:t xml:space="preserve"> и МБРР преследуют во многом одни и те же цели</w:t>
      </w:r>
      <w:r>
        <w:rPr>
          <w:noProof/>
          <w:snapToGrid w:val="0"/>
          <w:sz w:val="28"/>
        </w:rPr>
        <w:t xml:space="preserve"> — </w:t>
      </w:r>
      <w:r>
        <w:rPr>
          <w:snapToGrid w:val="0"/>
          <w:sz w:val="28"/>
        </w:rPr>
        <w:t>предоставление займов (кредитов) для приоритетных, экономически и технически обоснованных проектов в рамках национальной экономики. Организации различают по источникам финансовых средств и условиям предоставления капитала. В то время как МБРР, занимающий капитал в основном на финансовых рынках, предоставляет займы на несколько более льготных, чем обычные коммерческие, условиях в основном государствам, отвечающим определенным требованиям, а именно возвращающим кредиты,</w:t>
      </w:r>
      <w:r>
        <w:rPr>
          <w:snapToGrid w:val="0"/>
          <w:sz w:val="28"/>
          <w:lang w:val="en-US"/>
        </w:rPr>
        <w:t xml:space="preserve"> MAP,</w:t>
      </w:r>
      <w:r>
        <w:rPr>
          <w:snapToGrid w:val="0"/>
          <w:sz w:val="28"/>
        </w:rPr>
        <w:t xml:space="preserve"> получающая свой капитал из других источников, предоставляет беспроцентные кредиты беднейшим странам (с ежегодным доходом на одного человека менее</w:t>
      </w:r>
      <w:r>
        <w:rPr>
          <w:noProof/>
          <w:snapToGrid w:val="0"/>
          <w:sz w:val="28"/>
        </w:rPr>
        <w:t xml:space="preserve"> 805</w:t>
      </w:r>
      <w:r>
        <w:rPr>
          <w:snapToGrid w:val="0"/>
          <w:sz w:val="28"/>
        </w:rPr>
        <w:t xml:space="preserve"> дол. США на </w:t>
      </w:r>
      <w:r>
        <w:rPr>
          <w:noProof/>
          <w:snapToGrid w:val="0"/>
          <w:sz w:val="28"/>
        </w:rPr>
        <w:t>1992</w:t>
      </w:r>
      <w:r>
        <w:rPr>
          <w:snapToGrid w:val="0"/>
          <w:sz w:val="28"/>
        </w:rPr>
        <w:t>г.).</w:t>
      </w:r>
    </w:p>
    <w:p w:rsidR="00FB35AD" w:rsidRDefault="00FB35AD">
      <w:pPr>
        <w:widowControl w:val="0"/>
        <w:jc w:val="both"/>
        <w:rPr>
          <w:b/>
          <w:i/>
          <w:noProof/>
          <w:snapToGrid w:val="0"/>
          <w:sz w:val="28"/>
        </w:rPr>
      </w:pPr>
      <w:r>
        <w:rPr>
          <w:b/>
          <w:i/>
          <w:snapToGrid w:val="0"/>
          <w:sz w:val="28"/>
        </w:rPr>
        <w:t>Цели</w:t>
      </w:r>
      <w:r>
        <w:rPr>
          <w:b/>
          <w:i/>
          <w:snapToGrid w:val="0"/>
          <w:sz w:val="28"/>
          <w:lang w:val="en-US"/>
        </w:rPr>
        <w:t xml:space="preserve"> MAP</w:t>
      </w:r>
      <w:r>
        <w:rPr>
          <w:b/>
          <w:i/>
          <w:noProof/>
          <w:snapToGrid w:val="0"/>
          <w:sz w:val="28"/>
        </w:rPr>
        <w:t>:</w:t>
      </w:r>
    </w:p>
    <w:p w:rsidR="00FB35AD" w:rsidRDefault="00FB35AD">
      <w:pPr>
        <w:widowControl w:val="0"/>
        <w:ind w:left="220" w:right="800"/>
        <w:jc w:val="both"/>
        <w:rPr>
          <w:i/>
          <w:snapToGrid w:val="0"/>
          <w:sz w:val="28"/>
        </w:rPr>
      </w:pPr>
      <w:r>
        <w:rPr>
          <w:i/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 xml:space="preserve">поощрение экономического развития; </w:t>
      </w:r>
    </w:p>
    <w:p w:rsidR="00FB35AD" w:rsidRDefault="00FB35AD">
      <w:pPr>
        <w:widowControl w:val="0"/>
        <w:ind w:left="220" w:right="800"/>
        <w:jc w:val="both"/>
        <w:rPr>
          <w:i/>
          <w:snapToGrid w:val="0"/>
          <w:sz w:val="28"/>
        </w:rPr>
      </w:pPr>
      <w:r>
        <w:rPr>
          <w:i/>
          <w:noProof/>
          <w:snapToGrid w:val="0"/>
          <w:sz w:val="28"/>
        </w:rPr>
        <w:t>—</w:t>
      </w:r>
      <w:r>
        <w:rPr>
          <w:i/>
          <w:snapToGrid w:val="0"/>
          <w:sz w:val="28"/>
        </w:rPr>
        <w:t xml:space="preserve"> повышение производительности труда; </w:t>
      </w:r>
    </w:p>
    <w:p w:rsidR="00FB35AD" w:rsidRDefault="00FB35AD">
      <w:pPr>
        <w:widowControl w:val="0"/>
        <w:ind w:left="220" w:right="800"/>
        <w:jc w:val="both"/>
        <w:rPr>
          <w:i/>
          <w:snapToGrid w:val="0"/>
          <w:sz w:val="28"/>
        </w:rPr>
      </w:pPr>
      <w:r>
        <w:rPr>
          <w:i/>
          <w:noProof/>
          <w:snapToGrid w:val="0"/>
          <w:sz w:val="28"/>
        </w:rPr>
        <w:t>—</w:t>
      </w:r>
      <w:r>
        <w:rPr>
          <w:i/>
          <w:snapToGrid w:val="0"/>
          <w:sz w:val="28"/>
        </w:rPr>
        <w:t xml:space="preserve"> повышение уровня жизни в государствах-членах.</w:t>
      </w:r>
    </w:p>
    <w:p w:rsidR="00FB35AD" w:rsidRDefault="00FB35AD">
      <w:pPr>
        <w:widowControl w:val="0"/>
        <w:ind w:firstLine="100"/>
        <w:jc w:val="both"/>
        <w:rPr>
          <w:snapToGrid w:val="0"/>
          <w:sz w:val="28"/>
        </w:rPr>
      </w:pPr>
      <w:r>
        <w:rPr>
          <w:snapToGrid w:val="0"/>
          <w:sz w:val="28"/>
        </w:rPr>
        <w:t>Согласно терминологии, принятой в этих организациях, МБРР называет предоставляемые им ссуды займами,</w:t>
      </w:r>
      <w:r>
        <w:rPr>
          <w:snapToGrid w:val="0"/>
          <w:sz w:val="28"/>
          <w:lang w:val="en-US"/>
        </w:rPr>
        <w:t xml:space="preserve"> a MAP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кредитами.</w:t>
      </w:r>
    </w:p>
    <w:p w:rsidR="00FB35AD" w:rsidRDefault="00FB35AD">
      <w:pPr>
        <w:widowControl w:val="0"/>
        <w:ind w:right="6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Структура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Состав Совета управляющих и Исполнительного директората такой же, как и в МБРР. Административную деятельность осуществляет по совместительству персонал МБРР. Президент осуществляет текущие дела</w:t>
      </w:r>
      <w:r>
        <w:rPr>
          <w:snapToGrid w:val="0"/>
          <w:sz w:val="28"/>
          <w:lang w:val="en-US"/>
        </w:rPr>
        <w:t xml:space="preserve"> MAP.</w:t>
      </w:r>
      <w:r>
        <w:rPr>
          <w:snapToGrid w:val="0"/>
          <w:sz w:val="28"/>
        </w:rPr>
        <w:t xml:space="preserve"> Штат сотрудников</w:t>
      </w:r>
      <w:r>
        <w:rPr>
          <w:snapToGrid w:val="0"/>
          <w:sz w:val="28"/>
          <w:lang w:val="en-US"/>
        </w:rPr>
        <w:t xml:space="preserve"> MAP</w:t>
      </w:r>
      <w:r>
        <w:rPr>
          <w:snapToGrid w:val="0"/>
          <w:sz w:val="28"/>
        </w:rPr>
        <w:t xml:space="preserve"> разделен на четыре сектора: операции, финансирование, политика, планирование и исследования.</w:t>
      </w:r>
    </w:p>
    <w:p w:rsidR="00FB35AD" w:rsidRDefault="00FB35AD">
      <w:pPr>
        <w:widowControl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Источники финансирования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МАР располагает следующими источниками финансирования: прибыли МБРР, взносы государств-членов (на</w:t>
      </w:r>
      <w:r>
        <w:rPr>
          <w:noProof/>
          <w:snapToGrid w:val="0"/>
          <w:sz w:val="28"/>
        </w:rPr>
        <w:t xml:space="preserve"> 1993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>—73</w:t>
      </w:r>
      <w:r>
        <w:rPr>
          <w:snapToGrid w:val="0"/>
          <w:sz w:val="28"/>
        </w:rPr>
        <w:t xml:space="preserve"> млрд. дол.), а также возвращенные кредиты.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Один раз в три года группа стран-кредиторов (в настоящее время </w:t>
      </w:r>
      <w:r>
        <w:rPr>
          <w:noProof/>
          <w:snapToGrid w:val="0"/>
          <w:sz w:val="28"/>
        </w:rPr>
        <w:t>34</w:t>
      </w:r>
      <w:r>
        <w:rPr>
          <w:snapToGrid w:val="0"/>
          <w:sz w:val="28"/>
        </w:rPr>
        <w:t xml:space="preserve"> государства) назначает официальных представителей, которые проводят консультации об очередном привлечении средств</w:t>
      </w:r>
      <w:r>
        <w:rPr>
          <w:snapToGrid w:val="0"/>
          <w:sz w:val="28"/>
          <w:lang w:val="en-US"/>
        </w:rPr>
        <w:t xml:space="preserve"> MAP. </w:t>
      </w:r>
      <w:r>
        <w:rPr>
          <w:snapToGrid w:val="0"/>
          <w:sz w:val="28"/>
        </w:rPr>
        <w:t>Решение о проведении десятого привлечения средств</w:t>
      </w:r>
      <w:r>
        <w:rPr>
          <w:snapToGrid w:val="0"/>
          <w:sz w:val="28"/>
          <w:lang w:val="en-US"/>
        </w:rPr>
        <w:t xml:space="preserve"> MAP </w:t>
      </w:r>
      <w:r>
        <w:rPr>
          <w:noProof/>
          <w:snapToGrid w:val="0"/>
          <w:sz w:val="28"/>
        </w:rPr>
        <w:t>(18</w:t>
      </w:r>
      <w:r>
        <w:rPr>
          <w:snapToGrid w:val="0"/>
          <w:sz w:val="28"/>
        </w:rPr>
        <w:t xml:space="preserve"> млрд. дол.), используемых прежде всего для борьбы с бедностью, а также проведения экономических реформ, улучшения менеджмента и экологической среды, было принято в</w:t>
      </w:r>
      <w:r>
        <w:rPr>
          <w:noProof/>
          <w:snapToGrid w:val="0"/>
          <w:sz w:val="28"/>
        </w:rPr>
        <w:t xml:space="preserve"> 1993</w:t>
      </w:r>
      <w:r>
        <w:rPr>
          <w:snapToGrid w:val="0"/>
          <w:sz w:val="28"/>
        </w:rPr>
        <w:t xml:space="preserve"> г. (срок действия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до</w:t>
      </w:r>
      <w:r>
        <w:rPr>
          <w:noProof/>
          <w:snapToGrid w:val="0"/>
          <w:sz w:val="28"/>
        </w:rPr>
        <w:t xml:space="preserve"> 1996</w:t>
      </w:r>
      <w:r>
        <w:rPr>
          <w:snapToGrid w:val="0"/>
          <w:sz w:val="28"/>
        </w:rPr>
        <w:t>г.)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Фонд</w:t>
      </w:r>
      <w:r>
        <w:rPr>
          <w:snapToGrid w:val="0"/>
          <w:sz w:val="28"/>
          <w:lang w:val="en-US"/>
        </w:rPr>
        <w:t xml:space="preserve"> MAP</w:t>
      </w:r>
      <w:r>
        <w:rPr>
          <w:snapToGrid w:val="0"/>
          <w:sz w:val="28"/>
        </w:rPr>
        <w:t xml:space="preserve"> для сокращения долгов</w:t>
      </w:r>
      <w:r>
        <w:rPr>
          <w:snapToGrid w:val="0"/>
          <w:sz w:val="28"/>
          <w:lang w:val="en-US"/>
        </w:rPr>
        <w:t xml:space="preserve"> (Debt-Reduction Facility-Fund)</w:t>
      </w:r>
      <w:r>
        <w:rPr>
          <w:snapToGrid w:val="0"/>
          <w:sz w:val="28"/>
        </w:rPr>
        <w:t xml:space="preserve"> предоставляет беднейшим странам льготные кредиты для уменьшения внешней задолженности (общая величина кредитов не может превысить</w:t>
      </w:r>
      <w:r>
        <w:rPr>
          <w:noProof/>
          <w:snapToGrid w:val="0"/>
          <w:sz w:val="28"/>
        </w:rPr>
        <w:t xml:space="preserve"> 100</w:t>
      </w:r>
      <w:r>
        <w:rPr>
          <w:snapToGrid w:val="0"/>
          <w:sz w:val="28"/>
        </w:rPr>
        <w:t xml:space="preserve"> млн. дол.).</w:t>
      </w:r>
    </w:p>
    <w:p w:rsidR="00FB35AD" w:rsidRDefault="00FB35AD">
      <w:pPr>
        <w:widowControl w:val="0"/>
        <w:ind w:left="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Деятельность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Каждый финансируемый МАР проект подвергается политико-экономической экспертизе с целью наиболее эффективного использования финансовой помощи.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  <w:lang w:val="en-US"/>
        </w:rPr>
      </w:pPr>
      <w:r>
        <w:rPr>
          <w:snapToGrid w:val="0"/>
          <w:sz w:val="28"/>
          <w:lang w:val="en-US"/>
        </w:rPr>
        <w:t>MAP</w:t>
      </w:r>
      <w:r>
        <w:rPr>
          <w:snapToGrid w:val="0"/>
          <w:sz w:val="28"/>
        </w:rPr>
        <w:t xml:space="preserve"> обычно предоставляет беспроцентные кредиты на срок </w:t>
      </w:r>
      <w:r>
        <w:rPr>
          <w:noProof/>
          <w:snapToGrid w:val="0"/>
          <w:sz w:val="28"/>
        </w:rPr>
        <w:t>35—40</w:t>
      </w:r>
      <w:r>
        <w:rPr>
          <w:snapToGrid w:val="0"/>
          <w:sz w:val="28"/>
        </w:rPr>
        <w:t xml:space="preserve"> лет при льготном периоде в</w:t>
      </w:r>
      <w:r>
        <w:rPr>
          <w:noProof/>
          <w:snapToGrid w:val="0"/>
          <w:sz w:val="28"/>
        </w:rPr>
        <w:t xml:space="preserve"> 10</w:t>
      </w:r>
      <w:r>
        <w:rPr>
          <w:snapToGrid w:val="0"/>
          <w:sz w:val="28"/>
        </w:rPr>
        <w:t xml:space="preserve"> лет, взимая комиссионные на покрытие административных расходов. Кредиты предоставляются в национальной валюте государства или его территории. Право на кредит и участие в</w:t>
      </w:r>
      <w:r>
        <w:rPr>
          <w:snapToGrid w:val="0"/>
          <w:sz w:val="28"/>
          <w:lang w:val="en-US"/>
        </w:rPr>
        <w:t xml:space="preserve"> MAP</w:t>
      </w:r>
      <w:r>
        <w:rPr>
          <w:snapToGrid w:val="0"/>
          <w:sz w:val="28"/>
        </w:rPr>
        <w:t xml:space="preserve"> имеет только член МБРР. В последние</w:t>
      </w:r>
      <w:r>
        <w:rPr>
          <w:noProof/>
          <w:snapToGrid w:val="0"/>
          <w:sz w:val="28"/>
        </w:rPr>
        <w:t xml:space="preserve"> 5</w:t>
      </w:r>
      <w:r>
        <w:rPr>
          <w:snapToGrid w:val="0"/>
          <w:sz w:val="28"/>
        </w:rPr>
        <w:t xml:space="preserve"> лет предоставлено около</w:t>
      </w:r>
      <w:r>
        <w:rPr>
          <w:noProof/>
          <w:snapToGrid w:val="0"/>
          <w:sz w:val="28"/>
        </w:rPr>
        <w:t xml:space="preserve"> 40%</w:t>
      </w:r>
      <w:r>
        <w:rPr>
          <w:snapToGrid w:val="0"/>
          <w:sz w:val="28"/>
        </w:rPr>
        <w:t xml:space="preserve"> от общей суммы кредитов</w:t>
      </w:r>
      <w:r>
        <w:rPr>
          <w:snapToGrid w:val="0"/>
          <w:sz w:val="28"/>
          <w:lang w:val="en-US"/>
        </w:rPr>
        <w:t xml:space="preserve"> MAP.</w:t>
      </w:r>
    </w:p>
    <w:p w:rsidR="00FB35AD" w:rsidRDefault="00FB35AD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</w:t>
      </w:r>
      <w:r>
        <w:rPr>
          <w:noProof/>
          <w:snapToGrid w:val="0"/>
          <w:sz w:val="28"/>
        </w:rPr>
        <w:t xml:space="preserve"> 1993</w:t>
      </w:r>
      <w:r>
        <w:rPr>
          <w:snapToGrid w:val="0"/>
          <w:sz w:val="28"/>
        </w:rPr>
        <w:t xml:space="preserve"> финансовом году новые кредитные обязательства в отношении развивающихся стран со стороны МБРР и</w:t>
      </w:r>
      <w:r>
        <w:rPr>
          <w:snapToGrid w:val="0"/>
          <w:sz w:val="28"/>
          <w:lang w:val="en-US"/>
        </w:rPr>
        <w:t xml:space="preserve"> MAP</w:t>
      </w:r>
      <w:r>
        <w:rPr>
          <w:snapToGrid w:val="0"/>
          <w:sz w:val="28"/>
        </w:rPr>
        <w:t xml:space="preserve"> достигли рекордного уровня</w:t>
      </w:r>
      <w:r>
        <w:rPr>
          <w:noProof/>
          <w:snapToGrid w:val="0"/>
          <w:sz w:val="28"/>
        </w:rPr>
        <w:t xml:space="preserve"> — 23,7</w:t>
      </w:r>
      <w:r>
        <w:rPr>
          <w:snapToGrid w:val="0"/>
          <w:sz w:val="28"/>
        </w:rPr>
        <w:t xml:space="preserve"> млрд. дол. (в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г.—</w:t>
      </w:r>
      <w:r>
        <w:rPr>
          <w:noProof/>
          <w:snapToGrid w:val="0"/>
          <w:sz w:val="28"/>
        </w:rPr>
        <w:t>21,7</w:t>
      </w:r>
      <w:r>
        <w:rPr>
          <w:snapToGrid w:val="0"/>
          <w:sz w:val="28"/>
        </w:rPr>
        <w:t xml:space="preserve"> млрд. дол.). МБРР выделил в</w:t>
      </w:r>
      <w:r>
        <w:rPr>
          <w:noProof/>
          <w:snapToGrid w:val="0"/>
          <w:sz w:val="28"/>
        </w:rPr>
        <w:t xml:space="preserve"> 1993</w:t>
      </w:r>
      <w:r>
        <w:rPr>
          <w:snapToGrid w:val="0"/>
          <w:sz w:val="28"/>
        </w:rPr>
        <w:t xml:space="preserve"> финансовом году на осуществление </w:t>
      </w:r>
      <w:r>
        <w:rPr>
          <w:noProof/>
          <w:snapToGrid w:val="0"/>
          <w:sz w:val="28"/>
        </w:rPr>
        <w:t>122</w:t>
      </w:r>
      <w:r>
        <w:rPr>
          <w:snapToGrid w:val="0"/>
          <w:sz w:val="28"/>
        </w:rPr>
        <w:t xml:space="preserve"> проектов</w:t>
      </w:r>
      <w:r>
        <w:rPr>
          <w:noProof/>
          <w:snapToGrid w:val="0"/>
          <w:sz w:val="28"/>
        </w:rPr>
        <w:t xml:space="preserve"> 16,9</w:t>
      </w:r>
      <w:r>
        <w:rPr>
          <w:snapToGrid w:val="0"/>
          <w:sz w:val="28"/>
        </w:rPr>
        <w:t xml:space="preserve"> млрд. дол.;</w:t>
      </w:r>
      <w:r>
        <w:rPr>
          <w:snapToGrid w:val="0"/>
          <w:sz w:val="28"/>
          <w:lang w:val="en-US"/>
        </w:rPr>
        <w:t xml:space="preserve"> MAP</w:t>
      </w:r>
      <w:r>
        <w:rPr>
          <w:snapToGrid w:val="0"/>
          <w:sz w:val="28"/>
        </w:rPr>
        <w:t xml:space="preserve"> на</w:t>
      </w:r>
      <w:r>
        <w:rPr>
          <w:noProof/>
          <w:snapToGrid w:val="0"/>
          <w:sz w:val="28"/>
        </w:rPr>
        <w:t xml:space="preserve"> 123</w:t>
      </w:r>
      <w:r>
        <w:rPr>
          <w:snapToGrid w:val="0"/>
          <w:sz w:val="28"/>
        </w:rPr>
        <w:t xml:space="preserve"> проекта ассигновал 6,8 млрд. дол. (в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 эти суммы составляли соответственно</w:t>
      </w:r>
      <w:r>
        <w:rPr>
          <w:noProof/>
          <w:snapToGrid w:val="0"/>
          <w:sz w:val="28"/>
        </w:rPr>
        <w:t xml:space="preserve"> 15,2 </w:t>
      </w:r>
      <w:r>
        <w:rPr>
          <w:snapToGrid w:val="0"/>
          <w:sz w:val="28"/>
        </w:rPr>
        <w:t>млрд. и</w:t>
      </w:r>
      <w:r>
        <w:rPr>
          <w:noProof/>
          <w:snapToGrid w:val="0"/>
          <w:sz w:val="28"/>
        </w:rPr>
        <w:t xml:space="preserve"> 6,5</w:t>
      </w:r>
      <w:r>
        <w:rPr>
          <w:snapToGrid w:val="0"/>
          <w:sz w:val="28"/>
        </w:rPr>
        <w:t xml:space="preserve"> млрд. дол.). Кредиты МБРР и</w:t>
      </w:r>
      <w:r>
        <w:rPr>
          <w:snapToGrid w:val="0"/>
          <w:sz w:val="28"/>
          <w:lang w:val="en-US"/>
        </w:rPr>
        <w:t xml:space="preserve"> MAP</w:t>
      </w:r>
      <w:r>
        <w:rPr>
          <w:snapToGrid w:val="0"/>
          <w:sz w:val="28"/>
        </w:rPr>
        <w:t xml:space="preserve"> странам Восточной Европы и Центральной Азии в</w:t>
      </w:r>
      <w:r>
        <w:rPr>
          <w:noProof/>
          <w:snapToGrid w:val="0"/>
          <w:sz w:val="28"/>
        </w:rPr>
        <w:t xml:space="preserve"> 1993</w:t>
      </w:r>
      <w:r>
        <w:rPr>
          <w:snapToGrid w:val="0"/>
          <w:sz w:val="28"/>
        </w:rPr>
        <w:t xml:space="preserve"> финансовом году составили</w:t>
      </w:r>
      <w:r>
        <w:rPr>
          <w:noProof/>
          <w:snapToGrid w:val="0"/>
          <w:sz w:val="28"/>
        </w:rPr>
        <w:t xml:space="preserve"> 3,8</w:t>
      </w:r>
      <w:r>
        <w:rPr>
          <w:snapToGrid w:val="0"/>
          <w:sz w:val="28"/>
        </w:rPr>
        <w:t xml:space="preserve"> млрд. дол., резко увеличившись с</w:t>
      </w:r>
      <w:r>
        <w:rPr>
          <w:noProof/>
          <w:snapToGrid w:val="0"/>
          <w:sz w:val="28"/>
        </w:rPr>
        <w:t xml:space="preserve"> 2,1</w:t>
      </w:r>
      <w:r>
        <w:rPr>
          <w:snapToGrid w:val="0"/>
          <w:sz w:val="28"/>
        </w:rPr>
        <w:t xml:space="preserve"> млрд. дол. в</w:t>
      </w:r>
      <w:r>
        <w:rPr>
          <w:noProof/>
          <w:snapToGrid w:val="0"/>
          <w:sz w:val="28"/>
        </w:rPr>
        <w:t xml:space="preserve"> 1992</w:t>
      </w:r>
      <w:r>
        <w:rPr>
          <w:snapToGrid w:val="0"/>
          <w:sz w:val="28"/>
        </w:rPr>
        <w:t xml:space="preserve"> г. Часть этого увеличения связана с первыми кредитами, достигшими</w:t>
      </w:r>
      <w:r>
        <w:rPr>
          <w:noProof/>
          <w:snapToGrid w:val="0"/>
          <w:sz w:val="28"/>
        </w:rPr>
        <w:t xml:space="preserve"> 1,63</w:t>
      </w:r>
      <w:r>
        <w:rPr>
          <w:snapToGrid w:val="0"/>
          <w:sz w:val="28"/>
        </w:rPr>
        <w:t xml:space="preserve"> млрд. дол., восьми странам СНГ.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  <w:r>
        <w:rPr>
          <w:snapToGrid w:val="0"/>
          <w:sz w:val="28"/>
        </w:rPr>
        <w:t>В рамках программы специальной помощи</w:t>
      </w:r>
      <w:r>
        <w:rPr>
          <w:snapToGrid w:val="0"/>
          <w:sz w:val="28"/>
          <w:lang w:val="en-US"/>
        </w:rPr>
        <w:t xml:space="preserve"> (Special Programm of Assistance)</w:t>
      </w:r>
      <w:r>
        <w:rPr>
          <w:snapToGrid w:val="0"/>
          <w:sz w:val="28"/>
        </w:rPr>
        <w:t xml:space="preserve"> осуществляется поддержка стран южнее Сахары с низкими доходами и высокими долгами.</w:t>
      </w:r>
    </w:p>
    <w:p w:rsidR="00FB35AD" w:rsidRDefault="00FB35AD">
      <w:pPr>
        <w:widowControl w:val="0"/>
        <w:ind w:firstLine="260"/>
        <w:jc w:val="both"/>
        <w:rPr>
          <w:snapToGrid w:val="0"/>
          <w:sz w:val="28"/>
          <w:lang w:val="en-US"/>
        </w:rPr>
      </w:pPr>
      <w:r>
        <w:rPr>
          <w:snapToGrid w:val="0"/>
          <w:sz w:val="28"/>
        </w:rPr>
        <w:t>Директора-исполнители публикуют нормы и условия предоставления кредитов</w:t>
      </w:r>
      <w:r>
        <w:rPr>
          <w:snapToGrid w:val="0"/>
          <w:sz w:val="28"/>
          <w:lang w:val="en-US"/>
        </w:rPr>
        <w:t xml:space="preserve"> MAP.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  <w:r>
        <w:rPr>
          <w:snapToGrid w:val="0"/>
          <w:sz w:val="28"/>
        </w:rPr>
        <w:t>Таким образом,</w:t>
      </w:r>
      <w:r>
        <w:rPr>
          <w:snapToGrid w:val="0"/>
          <w:sz w:val="28"/>
          <w:lang w:val="en-US"/>
        </w:rPr>
        <w:t xml:space="preserve"> MAP</w:t>
      </w:r>
      <w:r>
        <w:rPr>
          <w:snapToGrid w:val="0"/>
          <w:sz w:val="28"/>
        </w:rPr>
        <w:t xml:space="preserve"> содействует социальному обеспечению развития рыночных отношений в развивающихся государствах.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</w:p>
    <w:p w:rsidR="00FB35AD" w:rsidRDefault="00FB35AD" w:rsidP="00FB35AD">
      <w:pPr>
        <w:widowControl w:val="0"/>
        <w:numPr>
          <w:ilvl w:val="0"/>
          <w:numId w:val="45"/>
        </w:numPr>
        <w:rPr>
          <w:b/>
          <w:i/>
          <w:snapToGrid w:val="0"/>
          <w:sz w:val="44"/>
          <w:u w:val="single"/>
        </w:rPr>
      </w:pPr>
      <w:r>
        <w:rPr>
          <w:b/>
          <w:i/>
          <w:snapToGrid w:val="0"/>
          <w:sz w:val="44"/>
          <w:u w:val="single"/>
        </w:rPr>
        <w:t>Международная финансовая корпорация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</w:p>
    <w:p w:rsidR="00FB35AD" w:rsidRDefault="00FB35AD">
      <w:pPr>
        <w:pStyle w:val="5"/>
        <w:framePr w:dropCap="drop" w:lines="0" w:wrap="around"/>
        <w:rPr>
          <w:snapToGrid w:val="0"/>
        </w:rPr>
      </w:pPr>
      <w:r>
        <w:rPr>
          <w:snapToGrid w:val="0"/>
        </w:rPr>
        <w:t>М</w:t>
      </w:r>
    </w:p>
    <w:p w:rsidR="00FB35AD" w:rsidRDefault="00FB35AD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еждународная финансовая корпорация (МФК) создана по инициативе США в</w:t>
      </w:r>
      <w:r>
        <w:rPr>
          <w:noProof/>
          <w:snapToGrid w:val="0"/>
          <w:sz w:val="28"/>
        </w:rPr>
        <w:t xml:space="preserve"> 1956</w:t>
      </w:r>
      <w:r>
        <w:rPr>
          <w:snapToGrid w:val="0"/>
          <w:sz w:val="28"/>
        </w:rPr>
        <w:t xml:space="preserve"> г. для поощрения инвестиций частного капитала в промышленность развивающихся стран.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МФК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член группы Всемирного банка, является юридически и финансово независимой организацией, в качестве специализированного учреждения входит в систему ООН. Местопребывание МФК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Вашингтон (США), Бюро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Франкфурт-на-Майне (Германия), Лондон (Великобритания), Париж (Франция), Токио (Япония).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 МФК в настоящее время входит</w:t>
      </w:r>
      <w:r>
        <w:rPr>
          <w:noProof/>
          <w:snapToGrid w:val="0"/>
          <w:sz w:val="28"/>
        </w:rPr>
        <w:t xml:space="preserve"> 161</w:t>
      </w:r>
      <w:r>
        <w:rPr>
          <w:snapToGrid w:val="0"/>
          <w:sz w:val="28"/>
        </w:rPr>
        <w:t xml:space="preserve"> государство-член. Членство в МФК предполагает и членство в МБРР.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МФК имеет отделения во Франкфурте-на-Майне, Лондоне, Париже и Токио. Действуют представительства в Африке (Абиджан, Аккра, Дуала, Хараре, Каир, Лагос, Найроби), Азии (Бангкок, Пекин, Джакара, Исламабад, Стамбул, Манила, Дели), Латинской Америке (Буэнос-Айрес, Мехико, Сан-Паулу) и Европе (Будапешт, Москва, Прага, Варшава, Вена), а также консультативные бюро по разработке проектов</w:t>
      </w:r>
      <w:r>
        <w:rPr>
          <w:snapToGrid w:val="0"/>
          <w:sz w:val="28"/>
          <w:lang w:val="en-US"/>
        </w:rPr>
        <w:t xml:space="preserve"> (Project Development Facilities)</w:t>
      </w:r>
      <w:r>
        <w:rPr>
          <w:snapToGrid w:val="0"/>
          <w:sz w:val="28"/>
        </w:rPr>
        <w:t xml:space="preserve"> в Вашингтоне, Абиджане, Аккре, Дуале, Хараре, Найроби, Бриджтауне, Сан-Хосе, Варшаве, Познани, Сиднее.</w:t>
      </w:r>
    </w:p>
    <w:p w:rsidR="00FB35AD" w:rsidRDefault="00FB35AD">
      <w:pPr>
        <w:widowControl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Цель МФК</w:t>
      </w:r>
    </w:p>
    <w:p w:rsidR="00FB35AD" w:rsidRDefault="00FB35AD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Содействие экономическому росту развивающихся стран пу</w:t>
      </w:r>
      <w:r>
        <w:rPr>
          <w:snapToGrid w:val="0"/>
          <w:sz w:val="28"/>
        </w:rPr>
        <w:softHyphen/>
        <w:t>тем поощрения частных предприятий в производственном секторе.</w:t>
      </w:r>
    </w:p>
    <w:p w:rsidR="00FB35AD" w:rsidRDefault="00FB35AD">
      <w:pPr>
        <w:widowControl w:val="0"/>
        <w:ind w:right="6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Структура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Высшим органом МФК является</w:t>
      </w:r>
      <w:r>
        <w:rPr>
          <w:snapToGrid w:val="0"/>
          <w:sz w:val="28"/>
          <w:lang w:val="en-US"/>
        </w:rPr>
        <w:t xml:space="preserve"> сoвет</w:t>
      </w:r>
      <w:r>
        <w:rPr>
          <w:snapToGrid w:val="0"/>
          <w:sz w:val="28"/>
        </w:rPr>
        <w:t xml:space="preserve"> управляющих, состоящий из управляющих и его заместителей. Он может передавать большинство своих полномочий (за исключением приема новых членов, исключения какого-либо члена, повышения или снижения уставного капитала, изменения соглашения о МФК) директорам-исполнителям. Каждый управляющий Всемирного банка </w:t>
      </w:r>
      <w:r>
        <w:rPr>
          <w:i/>
          <w:snapToGrid w:val="0"/>
          <w:sz w:val="28"/>
        </w:rPr>
        <w:t>(с</w:t>
      </w:r>
      <w:r>
        <w:rPr>
          <w:snapToGrid w:val="0"/>
          <w:sz w:val="28"/>
        </w:rPr>
        <w:t xml:space="preserve"> заместителем) автоматически является управляющим МФК (если его страна является ее членом). Ежегодное собрание МФК проводится одновременно с собранием Всемирного банка.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Директорат направляет текущую деятельность МФК. Он состоит из</w:t>
      </w:r>
      <w:r>
        <w:rPr>
          <w:noProof/>
          <w:snapToGrid w:val="0"/>
          <w:sz w:val="28"/>
        </w:rPr>
        <w:t xml:space="preserve"> 24</w:t>
      </w:r>
      <w:r>
        <w:rPr>
          <w:snapToGrid w:val="0"/>
          <w:sz w:val="28"/>
        </w:rPr>
        <w:t xml:space="preserve"> директоров Всемирного банка, страны которых одновременно являются членами МФК.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  <w:r>
        <w:rPr>
          <w:snapToGrid w:val="0"/>
          <w:sz w:val="28"/>
        </w:rPr>
        <w:t>Президент МФК по должности является председателем Директората МФК. МФК была реорганизована в</w:t>
      </w:r>
      <w:r>
        <w:rPr>
          <w:noProof/>
          <w:snapToGrid w:val="0"/>
          <w:sz w:val="28"/>
        </w:rPr>
        <w:t xml:space="preserve"> 1993</w:t>
      </w:r>
      <w:r>
        <w:rPr>
          <w:snapToGrid w:val="0"/>
          <w:sz w:val="28"/>
        </w:rPr>
        <w:t xml:space="preserve"> г. в соответствии с новыми требованиями (региональные стратегии, совершенство</w:t>
      </w:r>
      <w:r>
        <w:rPr>
          <w:snapToGrid w:val="0"/>
          <w:sz w:val="28"/>
        </w:rPr>
        <w:softHyphen/>
        <w:t>вание экспертной работы, особенно в отраслях инфраструктуры, химии и нефтехимии, нефти и газа, горнодобывающей промышленности и сельского хозяйства). За текущую деятельность отвечает исполнительный президент.</w:t>
      </w:r>
    </w:p>
    <w:p w:rsidR="00FB35AD" w:rsidRDefault="00FB35AD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Банковская консультативная комиссия</w:t>
      </w:r>
      <w:r>
        <w:rPr>
          <w:snapToGrid w:val="0"/>
          <w:sz w:val="28"/>
          <w:lang w:val="en-US"/>
        </w:rPr>
        <w:t xml:space="preserve"> (Banking Advisory Panel) </w:t>
      </w:r>
      <w:r>
        <w:rPr>
          <w:snapToGrid w:val="0"/>
          <w:sz w:val="28"/>
        </w:rPr>
        <w:t>восемь представителей ведущих международных институтов регулярно встречается с руководством МФК для обсуждения деловых и политических проблем и будущей стратегии корпорации. Деловой консультативный совет</w:t>
      </w:r>
      <w:r>
        <w:rPr>
          <w:snapToGrid w:val="0"/>
          <w:sz w:val="28"/>
          <w:lang w:val="en-US"/>
        </w:rPr>
        <w:t xml:space="preserve"> (Business Advisory Council), </w:t>
      </w:r>
      <w:r>
        <w:rPr>
          <w:snapToGrid w:val="0"/>
          <w:sz w:val="28"/>
        </w:rPr>
        <w:t>в который входят ведущие промышленники, банкиры и государственные деятели, встречается с руководством МФК для обмена мнениями об интересующих их экономических и финансовых вопросах.</w:t>
      </w:r>
    </w:p>
    <w:p w:rsidR="00FB35AD" w:rsidRDefault="00FB35AD">
      <w:pPr>
        <w:widowControl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Источники финансирования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К источникам финансирования МФК принадлежат взносы членов в уставный капитал</w:t>
      </w:r>
      <w:r>
        <w:rPr>
          <w:noProof/>
          <w:snapToGrid w:val="0"/>
          <w:sz w:val="28"/>
        </w:rPr>
        <w:t xml:space="preserve"> (1,4</w:t>
      </w:r>
      <w:r>
        <w:rPr>
          <w:snapToGrid w:val="0"/>
          <w:sz w:val="28"/>
        </w:rPr>
        <w:t xml:space="preserve"> млрд. дол.), кредиты МБРР, отчисления от прибылей, средства от возвращения кредитов и привлекаемые на международных финансовых рынках.</w:t>
      </w:r>
    </w:p>
    <w:p w:rsidR="00FB35AD" w:rsidRDefault="00FB35AD">
      <w:pPr>
        <w:widowControl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Деятельность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МФК предоставляет кредиты сроком от</w:t>
      </w:r>
      <w:r>
        <w:rPr>
          <w:noProof/>
          <w:snapToGrid w:val="0"/>
          <w:sz w:val="28"/>
        </w:rPr>
        <w:t xml:space="preserve"> 5</w:t>
      </w:r>
      <w:r>
        <w:rPr>
          <w:snapToGrid w:val="0"/>
          <w:sz w:val="28"/>
        </w:rPr>
        <w:t xml:space="preserve"> до</w:t>
      </w:r>
      <w:r>
        <w:rPr>
          <w:noProof/>
          <w:snapToGrid w:val="0"/>
          <w:sz w:val="28"/>
        </w:rPr>
        <w:t xml:space="preserve"> 15</w:t>
      </w:r>
      <w:r>
        <w:rPr>
          <w:snapToGrid w:val="0"/>
          <w:sz w:val="28"/>
        </w:rPr>
        <w:t xml:space="preserve"> лет высокорентабельным частным предприятиям, но в отличие от МБРР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без гарантии правительства. Таким образом, МФК содействует до- полнительному финансированию проектов, создаваемых частным сектором.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 последние годы МФК наряду со своей основной задачей поощрения частных капиталовложений (участие в инвестициях в акционерный капитал частных компаний и помощь им при эмиссии акций и долговых обязательств путем предоставления гарантий (до</w:t>
      </w:r>
      <w:r>
        <w:rPr>
          <w:noProof/>
          <w:snapToGrid w:val="0"/>
          <w:sz w:val="28"/>
        </w:rPr>
        <w:t xml:space="preserve"> 25%)</w:t>
      </w:r>
      <w:r>
        <w:rPr>
          <w:snapToGrid w:val="0"/>
          <w:sz w:val="28"/>
        </w:rPr>
        <w:t xml:space="preserve"> активизировала деятельность в сфере технической помощи. Общий объем кредитов и инвестиций составляет</w:t>
      </w:r>
      <w:r>
        <w:rPr>
          <w:noProof/>
          <w:snapToGrid w:val="0"/>
          <w:sz w:val="28"/>
        </w:rPr>
        <w:t xml:space="preserve"> 7</w:t>
      </w:r>
      <w:r>
        <w:rPr>
          <w:snapToGrid w:val="0"/>
          <w:sz w:val="28"/>
        </w:rPr>
        <w:t xml:space="preserve"> млрд. дол.</w:t>
      </w:r>
    </w:p>
    <w:p w:rsidR="00FB35AD" w:rsidRDefault="00FB35AD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</w:t>
      </w:r>
      <w:r>
        <w:rPr>
          <w:noProof/>
          <w:snapToGrid w:val="0"/>
          <w:sz w:val="28"/>
        </w:rPr>
        <w:t xml:space="preserve"> 1986</w:t>
      </w:r>
      <w:r>
        <w:rPr>
          <w:snapToGrid w:val="0"/>
          <w:sz w:val="28"/>
        </w:rPr>
        <w:t xml:space="preserve"> г. МФК основала Консультативную службу по иностранным инвестициям</w:t>
      </w:r>
      <w:r>
        <w:rPr>
          <w:snapToGrid w:val="0"/>
          <w:sz w:val="28"/>
          <w:lang w:val="en-US"/>
        </w:rPr>
        <w:t xml:space="preserve"> (Foreign Investment Advisory Service)</w:t>
      </w:r>
      <w:r>
        <w:rPr>
          <w:snapToGrid w:val="0"/>
          <w:sz w:val="28"/>
        </w:rPr>
        <w:t xml:space="preserve"> для оказа</w:t>
      </w:r>
      <w:r>
        <w:rPr>
          <w:snapToGrid w:val="0"/>
          <w:sz w:val="28"/>
        </w:rPr>
        <w:softHyphen/>
        <w:t>ния помощи правительствам развивающихся стран в наиболее эффективном использовании иностранных инвестиций (капиталы, технология, менеджмент) в рамках долгосрочных программ развития. Деятельность службы контролируется специальным комитетом (руководство: исполнительный президент МФК, вице-президент МАИГ, вице-президент МБРР по развитию частного сектора).</w:t>
      </w:r>
    </w:p>
    <w:p w:rsidR="00FB35AD" w:rsidRDefault="00FB35AD">
      <w:pPr>
        <w:ind w:firstLine="567"/>
        <w:jc w:val="both"/>
        <w:rPr>
          <w:snapToGrid w:val="0"/>
          <w:sz w:val="28"/>
        </w:rPr>
      </w:pPr>
    </w:p>
    <w:p w:rsidR="00FB35AD" w:rsidRDefault="00FB35AD" w:rsidP="00FB35AD">
      <w:pPr>
        <w:numPr>
          <w:ilvl w:val="0"/>
          <w:numId w:val="46"/>
        </w:numPr>
        <w:rPr>
          <w:b/>
          <w:i/>
          <w:snapToGrid w:val="0"/>
          <w:sz w:val="44"/>
          <w:u w:val="single"/>
        </w:rPr>
      </w:pPr>
      <w:r>
        <w:rPr>
          <w:b/>
          <w:i/>
          <w:snapToGrid w:val="0"/>
          <w:sz w:val="44"/>
          <w:u w:val="single"/>
        </w:rPr>
        <w:t>Европейский банк реконструкции и развития(ЕБРР)</w:t>
      </w:r>
    </w:p>
    <w:p w:rsidR="00FB35AD" w:rsidRDefault="00FB35AD">
      <w:pPr>
        <w:widowControl w:val="0"/>
        <w:ind w:firstLine="420"/>
        <w:jc w:val="both"/>
        <w:rPr>
          <w:snapToGrid w:val="0"/>
          <w:sz w:val="28"/>
        </w:rPr>
      </w:pPr>
    </w:p>
    <w:p w:rsidR="00FB35AD" w:rsidRDefault="00FB35AD">
      <w:pPr>
        <w:pStyle w:val="5"/>
        <w:framePr w:dropCap="drop" w:lines="0" w:wrap="around"/>
        <w:rPr>
          <w:snapToGrid w:val="0"/>
        </w:rPr>
      </w:pPr>
      <w:r>
        <w:rPr>
          <w:snapToGrid w:val="0"/>
        </w:rPr>
        <w:t>Е</w:t>
      </w:r>
    </w:p>
    <w:p w:rsidR="00FB35AD" w:rsidRDefault="00FB35AD">
      <w:pPr>
        <w:widowControl w:val="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БРР</w:t>
      </w:r>
      <w:r>
        <w:rPr>
          <w:b/>
          <w:noProof/>
          <w:snapToGrid w:val="0"/>
          <w:sz w:val="28"/>
        </w:rPr>
        <w:t xml:space="preserve"> 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международная организация, созданная на основании соглашения от</w:t>
      </w:r>
      <w:r>
        <w:rPr>
          <w:noProof/>
          <w:snapToGrid w:val="0"/>
          <w:sz w:val="28"/>
        </w:rPr>
        <w:t xml:space="preserve"> 29</w:t>
      </w:r>
      <w:r>
        <w:rPr>
          <w:snapToGrid w:val="0"/>
          <w:sz w:val="28"/>
        </w:rPr>
        <w:t xml:space="preserve"> мая</w:t>
      </w:r>
      <w:r>
        <w:rPr>
          <w:noProof/>
          <w:snapToGrid w:val="0"/>
          <w:sz w:val="28"/>
        </w:rPr>
        <w:t xml:space="preserve"> 1990</w:t>
      </w:r>
      <w:r>
        <w:rPr>
          <w:snapToGrid w:val="0"/>
          <w:sz w:val="28"/>
        </w:rPr>
        <w:t xml:space="preserve"> г. Учредителями ЕБРР были</w:t>
      </w:r>
      <w:r>
        <w:rPr>
          <w:noProof/>
          <w:snapToGrid w:val="0"/>
          <w:sz w:val="28"/>
        </w:rPr>
        <w:t xml:space="preserve"> 40</w:t>
      </w:r>
      <w:r>
        <w:rPr>
          <w:snapToGrid w:val="0"/>
          <w:sz w:val="28"/>
        </w:rPr>
        <w:t xml:space="preserve"> государств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все европейские государства (кроме Албании), США, Канада, Мексика, Марокко, Египет, Израиль, Япония, Новая Зеландия, Австралия. Южная Корея, а также ЕЭС и Европейский инвестиционный банк (ЕИБ). Правопреемниками СССР, Чехословакии и СФРЮ впоследствии стали государства СНГ, Чехия и Словения, Хорватия и Македония. В связи с объединением Германии ГДР прекратила свое членство в ЕБРР. Членами ЕБРР являются 59 государств. Они разделены на группы стран: группа </w:t>
      </w:r>
      <w:r>
        <w:rPr>
          <w:i/>
          <w:snapToGrid w:val="0"/>
          <w:sz w:val="28"/>
        </w:rPr>
        <w:t>А</w:t>
      </w:r>
      <w:r>
        <w:rPr>
          <w:i/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ЕЭС, государства-члены ЕЭС; группа </w:t>
      </w:r>
      <w:r>
        <w:rPr>
          <w:i/>
          <w:snapToGrid w:val="0"/>
          <w:sz w:val="28"/>
        </w:rPr>
        <w:t>В</w:t>
      </w:r>
      <w:r>
        <w:rPr>
          <w:i/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другие европейские государства (а также Израиль); группа С— государства Центральной и Восточной Европы; группа</w:t>
      </w:r>
      <w:r>
        <w:rPr>
          <w:snapToGrid w:val="0"/>
          <w:sz w:val="28"/>
          <w:lang w:val="en-US"/>
        </w:rPr>
        <w:t xml:space="preserve"> </w:t>
      </w:r>
      <w:r>
        <w:rPr>
          <w:i/>
          <w:snapToGrid w:val="0"/>
          <w:sz w:val="28"/>
          <w:lang w:val="en-US"/>
        </w:rPr>
        <w:t>D</w:t>
      </w:r>
      <w:r>
        <w:rPr>
          <w:i/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неевропейские государства (США и Япония).</w:t>
      </w:r>
    </w:p>
    <w:p w:rsidR="00FB35AD" w:rsidRDefault="00FB35AD">
      <w:pPr>
        <w:widowControl w:val="0"/>
        <w:ind w:left="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Цели ЕБРР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Целью ЕБРР является содействие государствам Центральной и Восточной Европы в развитии национальной экономики посредством предоставления кредитов, финансирования инвестиционных проектов в государственном и частном секторах, обеспечения гарантий их реализации.</w:t>
      </w:r>
    </w:p>
    <w:p w:rsidR="00FB35AD" w:rsidRDefault="00FB35AD">
      <w:pPr>
        <w:widowControl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Особенности ЕБРР</w:t>
      </w:r>
    </w:p>
    <w:p w:rsidR="00FB35AD" w:rsidRDefault="00FB35AD">
      <w:pPr>
        <w:pStyle w:val="30"/>
        <w:widowControl w:val="0"/>
        <w:ind w:firstLine="567"/>
        <w:rPr>
          <w:snapToGrid w:val="0"/>
        </w:rPr>
      </w:pPr>
      <w:r>
        <w:rPr>
          <w:snapToGrid w:val="0"/>
        </w:rPr>
        <w:t xml:space="preserve">ЕБРР совмещает в себе следующие черты: </w:t>
      </w:r>
    </w:p>
    <w:p w:rsidR="00FB35AD" w:rsidRDefault="00FB35AD">
      <w:pPr>
        <w:widowControl w:val="0"/>
        <w:jc w:val="both"/>
        <w:rPr>
          <w:i/>
          <w:snapToGrid w:val="0"/>
          <w:sz w:val="28"/>
        </w:rPr>
      </w:pPr>
      <w:r>
        <w:rPr>
          <w:i/>
          <w:noProof/>
          <w:snapToGrid w:val="0"/>
          <w:sz w:val="28"/>
        </w:rPr>
        <w:t>1)</w:t>
      </w:r>
      <w:r>
        <w:rPr>
          <w:i/>
          <w:snapToGrid w:val="0"/>
          <w:sz w:val="28"/>
        </w:rPr>
        <w:t xml:space="preserve"> межгосударственной организации (членами ЕБРР являются независимые государства; в соответствии с главой</w:t>
      </w:r>
      <w:r>
        <w:rPr>
          <w:i/>
          <w:noProof/>
          <w:snapToGrid w:val="0"/>
          <w:sz w:val="28"/>
        </w:rPr>
        <w:t xml:space="preserve"> VIII</w:t>
      </w:r>
      <w:r>
        <w:rPr>
          <w:i/>
          <w:snapToGrid w:val="0"/>
          <w:sz w:val="28"/>
        </w:rPr>
        <w:t xml:space="preserve"> Соглашения ЕБРР обладает правосубъектностью (полной правоспособностью и дееспособностью международной организации); ЕБРР имеет право заключать международные договоры; сотрудники банка, а также их семьи обладают дипломатическим иммунитетом и не привлекаются к гражданской, уголовной и иной ответственности; имущество и активы ЕБРР освобождены от налогообложения, таможенных и иных пошлин и обладают иммунитетом от досмотра и обыска, ареста, реквизиции, конфискации, экспроприации до вступления в законную силу соответствующего судебного решения);</w:t>
      </w:r>
    </w:p>
    <w:p w:rsidR="00FB35AD" w:rsidRDefault="00FB35AD">
      <w:pPr>
        <w:widowControl w:val="0"/>
        <w:ind w:firstLine="260"/>
        <w:jc w:val="both"/>
        <w:rPr>
          <w:i/>
          <w:snapToGrid w:val="0"/>
          <w:sz w:val="28"/>
        </w:rPr>
      </w:pPr>
      <w:r>
        <w:rPr>
          <w:i/>
          <w:noProof/>
          <w:snapToGrid w:val="0"/>
          <w:sz w:val="28"/>
        </w:rPr>
        <w:t>2)</w:t>
      </w:r>
      <w:r>
        <w:rPr>
          <w:i/>
          <w:snapToGrid w:val="0"/>
          <w:sz w:val="28"/>
        </w:rPr>
        <w:t xml:space="preserve"> инвестиционного банка (т.е. ЕБРР гарантирует размещение выпуска ценных бумаг предприятий, в случаях если иные методы финансирования являются менее приемлемыми; ЕБРР является генеральным инвестором в рамках банковских консорциумов или синдицированных кредитов, кроме того, он выступает в качестве консультанта и советника при подготовке инвестиционных проектов; ЕБРР оказывает также техническое содействие по инвестиционным проектам);</w:t>
      </w:r>
    </w:p>
    <w:p w:rsidR="00FB35AD" w:rsidRDefault="00FB35AD">
      <w:pPr>
        <w:widowControl w:val="0"/>
        <w:ind w:firstLine="280"/>
        <w:jc w:val="both"/>
        <w:rPr>
          <w:snapToGrid w:val="0"/>
          <w:sz w:val="28"/>
        </w:rPr>
      </w:pPr>
      <w:r>
        <w:rPr>
          <w:i/>
          <w:noProof/>
          <w:snapToGrid w:val="0"/>
          <w:sz w:val="28"/>
        </w:rPr>
        <w:t>3)</w:t>
      </w:r>
      <w:r>
        <w:rPr>
          <w:i/>
          <w:snapToGrid w:val="0"/>
          <w:sz w:val="28"/>
        </w:rPr>
        <w:t xml:space="preserve"> коммерческого банка (ЕБРР вправе привлекать финансовые средства с мировых финансовых рынков, с последующим финансированием финансово-кредитных и иных коммерческих институтов; предусматривается статус</w:t>
      </w:r>
      <w:r>
        <w:rPr>
          <w:i/>
          <w:snapToGrid w:val="0"/>
          <w:sz w:val="28"/>
          <w:lang w:val="en-US"/>
        </w:rPr>
        <w:t xml:space="preserve"> ЕБРР</w:t>
      </w:r>
      <w:r>
        <w:rPr>
          <w:i/>
          <w:snapToGrid w:val="0"/>
          <w:sz w:val="28"/>
        </w:rPr>
        <w:t xml:space="preserve"> как гаранта инвестиционных проектов и займов).</w:t>
      </w:r>
    </w:p>
    <w:p w:rsidR="00FB35AD" w:rsidRDefault="00FB35AD">
      <w:pPr>
        <w:widowControl w:val="0"/>
        <w:ind w:left="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Организационная структура ЕБРР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Главным органом ЕБРР является Совет управляющих, в кото</w:t>
      </w:r>
      <w:r>
        <w:rPr>
          <w:snapToGrid w:val="0"/>
          <w:sz w:val="28"/>
        </w:rPr>
        <w:softHyphen/>
        <w:t>ром каждый член ЕБРР представлен одним управляющим (как правило, министром финансов или председателем центрального банка), который осуществляет свои функции без вознаграждения. Совет имеет в своем составе</w:t>
      </w:r>
      <w:r>
        <w:rPr>
          <w:noProof/>
          <w:snapToGrid w:val="0"/>
          <w:sz w:val="28"/>
        </w:rPr>
        <w:t xml:space="preserve"> 118</w:t>
      </w:r>
      <w:r>
        <w:rPr>
          <w:snapToGrid w:val="0"/>
          <w:sz w:val="28"/>
        </w:rPr>
        <w:t xml:space="preserve"> членов</w:t>
      </w:r>
      <w:r>
        <w:rPr>
          <w:noProof/>
          <w:snapToGrid w:val="0"/>
          <w:sz w:val="28"/>
        </w:rPr>
        <w:t xml:space="preserve"> (59</w:t>
      </w:r>
      <w:r>
        <w:rPr>
          <w:snapToGrid w:val="0"/>
          <w:sz w:val="28"/>
        </w:rPr>
        <w:t xml:space="preserve"> управляющих и их заместители). Председатель Совета избираются ежегодно. Исключительной компетенцией Совета являются: определение условий и прием новых членов, приостановка членства; изменение и толкование Соглашения о ЕБРР; избрание директоров-исполнителей и президента ЕБРР, установление размера вознаграждения директоров-исполнителей и их заместителей; увеличение или уменьшение уставного капитала; предоставление полномочий на заключение международных договоров; утверждение общего баланса и счета прибылей и убытков ЕБРР, определение размера резервов, распределение прибыли; ликвидация ЕБРР. Заседания Совета проводятся не реже</w:t>
      </w:r>
      <w:r>
        <w:rPr>
          <w:noProof/>
          <w:snapToGrid w:val="0"/>
          <w:sz w:val="28"/>
        </w:rPr>
        <w:t xml:space="preserve"> 1</w:t>
      </w:r>
      <w:r>
        <w:rPr>
          <w:snapToGrid w:val="0"/>
          <w:sz w:val="28"/>
        </w:rPr>
        <w:t xml:space="preserve"> раза в год. Решения принимаются большинством голосов; при рассмотрении вопросов особой важности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квалифицированным большинством голосов</w:t>
      </w:r>
      <w:r>
        <w:rPr>
          <w:noProof/>
          <w:snapToGrid w:val="0"/>
          <w:sz w:val="28"/>
        </w:rPr>
        <w:t xml:space="preserve"> (2/3,</w:t>
      </w:r>
      <w:r>
        <w:rPr>
          <w:snapToGrid w:val="0"/>
          <w:sz w:val="28"/>
        </w:rPr>
        <w:t xml:space="preserve"> или </w:t>
      </w:r>
      <w:r>
        <w:rPr>
          <w:noProof/>
          <w:snapToGrid w:val="0"/>
          <w:sz w:val="28"/>
        </w:rPr>
        <w:t>85%</w:t>
      </w:r>
      <w:r>
        <w:rPr>
          <w:snapToGrid w:val="0"/>
          <w:sz w:val="28"/>
        </w:rPr>
        <w:t xml:space="preserve"> от общего количества голосов). Совет директоров</w:t>
      </w:r>
      <w:r>
        <w:rPr>
          <w:noProof/>
          <w:snapToGrid w:val="0"/>
          <w:sz w:val="28"/>
        </w:rPr>
        <w:t xml:space="preserve"> (23</w:t>
      </w:r>
      <w:r>
        <w:rPr>
          <w:snapToGrid w:val="0"/>
          <w:sz w:val="28"/>
        </w:rPr>
        <w:t xml:space="preserve"> директора-исполнителя) представляют </w:t>
      </w:r>
      <w:r>
        <w:rPr>
          <w:noProof/>
          <w:snapToGrid w:val="0"/>
          <w:sz w:val="28"/>
        </w:rPr>
        <w:t>11</w:t>
      </w:r>
      <w:r>
        <w:rPr>
          <w:snapToGrid w:val="0"/>
          <w:sz w:val="28"/>
        </w:rPr>
        <w:t xml:space="preserve"> директоров-исполнителей (директора от стран группы А) и </w:t>
      </w:r>
      <w:r>
        <w:rPr>
          <w:noProof/>
          <w:snapToGrid w:val="0"/>
          <w:sz w:val="28"/>
        </w:rPr>
        <w:t>12</w:t>
      </w:r>
      <w:r>
        <w:rPr>
          <w:snapToGrid w:val="0"/>
          <w:sz w:val="28"/>
        </w:rPr>
        <w:t xml:space="preserve"> директоров-исполнителей (по</w:t>
      </w:r>
      <w:r>
        <w:rPr>
          <w:noProof/>
          <w:snapToGrid w:val="0"/>
          <w:sz w:val="28"/>
        </w:rPr>
        <w:t xml:space="preserve"> 4</w:t>
      </w:r>
      <w:r>
        <w:rPr>
          <w:snapToGrid w:val="0"/>
          <w:sz w:val="28"/>
        </w:rPr>
        <w:t xml:space="preserve"> директора от стран групп В</w:t>
      </w:r>
      <w:r>
        <w:rPr>
          <w:i/>
          <w:snapToGrid w:val="0"/>
          <w:sz w:val="28"/>
        </w:rPr>
        <w:t>,</w:t>
      </w:r>
      <w:r>
        <w:rPr>
          <w:snapToGrid w:val="0"/>
          <w:sz w:val="28"/>
        </w:rPr>
        <w:t xml:space="preserve"> С, </w:t>
      </w:r>
      <w:r>
        <w:rPr>
          <w:i/>
          <w:snapToGrid w:val="0"/>
          <w:sz w:val="28"/>
          <w:lang w:val="en-US"/>
        </w:rPr>
        <w:t>D).</w:t>
      </w:r>
      <w:r>
        <w:rPr>
          <w:snapToGrid w:val="0"/>
          <w:sz w:val="28"/>
        </w:rPr>
        <w:t xml:space="preserve"> Следует отметить, что в ЕБРР существует следующая практика: директор и его заместитель не должны быть гражданами одного государства. Совет директоров имеет в своем составе ревизионный комитет, комитет по оплате труда персонала и административным вопросам, а также финансовый комитет, которые работают в Лондоне. В функции Совета директоров входит подготовка материалов для Совета управляющих, определение политики в отношении деятельности ЕБРР, утверждение бюджета ЕБРР, представление финансовых отчетов после аудиторской проверки. Решения на заседаниях принимаются большинством голосов или квалифицированным большинством голосов</w:t>
      </w:r>
      <w:r>
        <w:rPr>
          <w:noProof/>
          <w:snapToGrid w:val="0"/>
          <w:sz w:val="28"/>
        </w:rPr>
        <w:t xml:space="preserve"> (2/3,</w:t>
      </w:r>
      <w:r>
        <w:rPr>
          <w:snapToGrid w:val="0"/>
          <w:sz w:val="28"/>
        </w:rPr>
        <w:t xml:space="preserve"> или</w:t>
      </w:r>
      <w:r>
        <w:rPr>
          <w:noProof/>
          <w:snapToGrid w:val="0"/>
          <w:sz w:val="28"/>
        </w:rPr>
        <w:t xml:space="preserve"> 85%</w:t>
      </w:r>
      <w:r>
        <w:rPr>
          <w:snapToGrid w:val="0"/>
          <w:sz w:val="28"/>
        </w:rPr>
        <w:t xml:space="preserve"> от общего количества голосов).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Президент, избираемый Советом управляющих на</w:t>
      </w:r>
      <w:r>
        <w:rPr>
          <w:noProof/>
          <w:snapToGrid w:val="0"/>
          <w:sz w:val="28"/>
        </w:rPr>
        <w:t xml:space="preserve"> 4</w:t>
      </w:r>
      <w:r>
        <w:rPr>
          <w:snapToGrid w:val="0"/>
          <w:sz w:val="28"/>
        </w:rPr>
        <w:t xml:space="preserve"> года, является официальным представителем ЕБРР и возглавляет его и постоянно действующий исполнительный орган. Президент председательствует на заседаниях Совета директоров и не участвует в голосовании, но при одинаковом количестве голосов его голос является решающим.</w:t>
      </w:r>
    </w:p>
    <w:p w:rsidR="00FB35AD" w:rsidRDefault="00FB35AD">
      <w:pPr>
        <w:widowControl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Уставный капитал ЕБРР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Акционерный капитал ЕБРР составляет</w:t>
      </w:r>
      <w:r>
        <w:rPr>
          <w:noProof/>
          <w:snapToGrid w:val="0"/>
          <w:sz w:val="28"/>
        </w:rPr>
        <w:t xml:space="preserve"> 10</w:t>
      </w:r>
      <w:r>
        <w:rPr>
          <w:snapToGrid w:val="0"/>
          <w:sz w:val="28"/>
        </w:rPr>
        <w:t xml:space="preserve"> млрд. ЭКЮ (ЭКЮ является официальной валютной единицей Банка, все его активы, обязательства и финансовые отчеты выражаются в ЭКЮ) и разделен на</w:t>
      </w:r>
      <w:r>
        <w:rPr>
          <w:noProof/>
          <w:snapToGrid w:val="0"/>
          <w:sz w:val="28"/>
        </w:rPr>
        <w:t xml:space="preserve"> 1</w:t>
      </w:r>
      <w:r>
        <w:rPr>
          <w:snapToGrid w:val="0"/>
          <w:sz w:val="28"/>
        </w:rPr>
        <w:t xml:space="preserve"> млн. акций номинальной стоимостью в</w:t>
      </w:r>
      <w:r>
        <w:rPr>
          <w:noProof/>
          <w:snapToGrid w:val="0"/>
          <w:sz w:val="28"/>
        </w:rPr>
        <w:t xml:space="preserve"> 10 000</w:t>
      </w:r>
      <w:r>
        <w:rPr>
          <w:snapToGrid w:val="0"/>
          <w:sz w:val="28"/>
        </w:rPr>
        <w:t xml:space="preserve"> ЭКЮ. Минимальное количество акций, на которые должен подписы</w:t>
      </w:r>
      <w:r>
        <w:rPr>
          <w:snapToGrid w:val="0"/>
          <w:sz w:val="28"/>
        </w:rPr>
        <w:softHyphen/>
        <w:t>ваться каждый член,</w:t>
      </w:r>
      <w:r>
        <w:rPr>
          <w:noProof/>
          <w:snapToGrid w:val="0"/>
          <w:sz w:val="28"/>
        </w:rPr>
        <w:t xml:space="preserve"> — 100,</w:t>
      </w:r>
      <w:r>
        <w:rPr>
          <w:snapToGrid w:val="0"/>
          <w:sz w:val="28"/>
        </w:rPr>
        <w:t xml:space="preserve"> из них</w:t>
      </w:r>
      <w:r>
        <w:rPr>
          <w:noProof/>
          <w:snapToGrid w:val="0"/>
          <w:sz w:val="28"/>
        </w:rPr>
        <w:t xml:space="preserve"> 3/10 (3</w:t>
      </w:r>
      <w:r>
        <w:rPr>
          <w:snapToGrid w:val="0"/>
          <w:sz w:val="28"/>
        </w:rPr>
        <w:t xml:space="preserve"> млрд. ЭКЮ) подлежит оплате простыми векселями, а</w:t>
      </w:r>
      <w:r>
        <w:rPr>
          <w:noProof/>
          <w:snapToGrid w:val="0"/>
          <w:sz w:val="28"/>
        </w:rPr>
        <w:t xml:space="preserve"> 7/10</w:t>
      </w:r>
      <w:r>
        <w:rPr>
          <w:snapToGrid w:val="0"/>
          <w:sz w:val="28"/>
        </w:rPr>
        <w:t xml:space="preserve"> подлежит оплате по требованию, в случае если у ЕБРР возникнет такая необходимость. Оплата акций должна производиться равными долями один раз в год в течение</w:t>
      </w:r>
      <w:r>
        <w:rPr>
          <w:noProof/>
          <w:snapToGrid w:val="0"/>
          <w:sz w:val="28"/>
        </w:rPr>
        <w:t xml:space="preserve"> 5</w:t>
      </w:r>
      <w:r>
        <w:rPr>
          <w:snapToGrid w:val="0"/>
          <w:sz w:val="28"/>
        </w:rPr>
        <w:t xml:space="preserve"> лет с момента вступления в силу соглашения о создании ЕБРР. Акционерный капитал банка должен пересматриваться не реже чем один раз в</w:t>
      </w:r>
      <w:r>
        <w:rPr>
          <w:noProof/>
          <w:snapToGrid w:val="0"/>
          <w:sz w:val="28"/>
        </w:rPr>
        <w:t xml:space="preserve"> 5</w:t>
      </w:r>
      <w:r>
        <w:rPr>
          <w:snapToGrid w:val="0"/>
          <w:sz w:val="28"/>
        </w:rPr>
        <w:t xml:space="preserve"> лет. ЕЭС и ЕИБ (они имеют</w:t>
      </w:r>
      <w:r>
        <w:rPr>
          <w:noProof/>
          <w:snapToGrid w:val="0"/>
          <w:sz w:val="28"/>
        </w:rPr>
        <w:t xml:space="preserve"> 2/3</w:t>
      </w:r>
      <w:r>
        <w:rPr>
          <w:snapToGrid w:val="0"/>
          <w:sz w:val="28"/>
        </w:rPr>
        <w:t xml:space="preserve"> акций ЕБРР) совместно с промышленно развитыми государствами Европы должны иметь не менее</w:t>
      </w:r>
      <w:r>
        <w:rPr>
          <w:snapToGrid w:val="0"/>
          <w:sz w:val="28"/>
          <w:lang w:val="en-US"/>
        </w:rPr>
        <w:t xml:space="preserve"> 50%</w:t>
      </w:r>
      <w:r>
        <w:rPr>
          <w:snapToGrid w:val="0"/>
          <w:sz w:val="28"/>
        </w:rPr>
        <w:t xml:space="preserve"> акций. Доля акций иных членов может изменяться без ограничений. Следует отметить, что</w:t>
      </w:r>
      <w:r>
        <w:rPr>
          <w:noProof/>
          <w:snapToGrid w:val="0"/>
          <w:sz w:val="28"/>
        </w:rPr>
        <w:t xml:space="preserve"> 125</w:t>
      </w:r>
      <w:r>
        <w:rPr>
          <w:snapToGrid w:val="0"/>
          <w:sz w:val="28"/>
        </w:rPr>
        <w:t xml:space="preserve"> акций распределению между членами не подлежат.</w:t>
      </w:r>
    </w:p>
    <w:p w:rsidR="00FB35AD" w:rsidRDefault="00FB35AD">
      <w:pPr>
        <w:widowControl w:val="0"/>
        <w:ind w:left="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Источники финансирования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Обычные ресурсы ЕБРР составляют собственные средства; привлеченные заемные средства</w:t>
      </w:r>
      <w:r>
        <w:rPr>
          <w:noProof/>
          <w:snapToGrid w:val="0"/>
          <w:sz w:val="28"/>
        </w:rPr>
        <w:t xml:space="preserve"> (60%);</w:t>
      </w:r>
      <w:r>
        <w:rPr>
          <w:snapToGrid w:val="0"/>
          <w:sz w:val="28"/>
        </w:rPr>
        <w:t xml:space="preserve"> средства, полученные в счет погашения займов или по гарантиям: иные средства, не являющиеся частью ресурсов специальных фондов.</w:t>
      </w:r>
    </w:p>
    <w:p w:rsidR="00FB35AD" w:rsidRDefault="00FB35AD">
      <w:pPr>
        <w:widowControl w:val="0"/>
        <w:ind w:left="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Кредитно-инвестииионная политика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 своей деятельности ЕБРР использует следующие формы операций для предприятий с государственной и частной формами собственности:</w:t>
      </w:r>
    </w:p>
    <w:p w:rsidR="00FB35AD" w:rsidRDefault="00FB35AD">
      <w:pPr>
        <w:widowControl w:val="0"/>
        <w:ind w:firstLine="260"/>
        <w:jc w:val="both"/>
        <w:rPr>
          <w:i/>
          <w:noProof/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предоставление кредитов на развитие производства (в частный сектор</w:t>
      </w:r>
      <w:r>
        <w:rPr>
          <w:i/>
          <w:noProof/>
          <w:snapToGrid w:val="0"/>
          <w:sz w:val="28"/>
        </w:rPr>
        <w:t xml:space="preserve"> — 60%,</w:t>
      </w:r>
      <w:r>
        <w:rPr>
          <w:i/>
          <w:snapToGrid w:val="0"/>
          <w:sz w:val="28"/>
        </w:rPr>
        <w:t xml:space="preserve"> в государственный сектор</w:t>
      </w:r>
      <w:r>
        <w:rPr>
          <w:i/>
          <w:noProof/>
          <w:snapToGrid w:val="0"/>
          <w:sz w:val="28"/>
        </w:rPr>
        <w:t xml:space="preserve"> — 40%);</w:t>
      </w:r>
    </w:p>
    <w:p w:rsidR="00FB35AD" w:rsidRDefault="00FB35AD">
      <w:pPr>
        <w:widowControl w:val="0"/>
        <w:ind w:firstLine="260"/>
        <w:jc w:val="both"/>
        <w:rPr>
          <w:i/>
          <w:snapToGrid w:val="0"/>
          <w:sz w:val="28"/>
        </w:rPr>
      </w:pPr>
      <w:r>
        <w:rPr>
          <w:i/>
          <w:noProof/>
          <w:snapToGrid w:val="0"/>
          <w:sz w:val="28"/>
        </w:rPr>
        <w:t>—</w:t>
      </w:r>
      <w:r>
        <w:rPr>
          <w:i/>
          <w:snapToGrid w:val="0"/>
          <w:sz w:val="28"/>
        </w:rPr>
        <w:t xml:space="preserve"> финансирование и техническое обеспечение инвестиционных проектов (не более</w:t>
      </w:r>
      <w:r>
        <w:rPr>
          <w:i/>
          <w:noProof/>
          <w:snapToGrid w:val="0"/>
          <w:sz w:val="28"/>
        </w:rPr>
        <w:t xml:space="preserve"> 35%</w:t>
      </w:r>
      <w:r>
        <w:rPr>
          <w:i/>
          <w:snapToGrid w:val="0"/>
          <w:sz w:val="28"/>
        </w:rPr>
        <w:t xml:space="preserve"> от стоимости инвестиционного проекта);</w:t>
      </w:r>
    </w:p>
    <w:p w:rsidR="00FB35AD" w:rsidRDefault="00FB35AD" w:rsidP="00FB35AD">
      <w:pPr>
        <w:widowControl w:val="0"/>
        <w:numPr>
          <w:ilvl w:val="0"/>
          <w:numId w:val="1"/>
        </w:numPr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гарантирование размещения ценных бумаг; </w:t>
      </w:r>
    </w:p>
    <w:p w:rsidR="00FB35AD" w:rsidRDefault="00FB35AD" w:rsidP="00FB35AD">
      <w:pPr>
        <w:widowControl w:val="0"/>
        <w:numPr>
          <w:ilvl w:val="0"/>
          <w:numId w:val="1"/>
        </w:numPr>
        <w:jc w:val="both"/>
        <w:rPr>
          <w:i/>
          <w:snapToGrid w:val="0"/>
          <w:sz w:val="28"/>
        </w:rPr>
      </w:pPr>
      <w:r>
        <w:rPr>
          <w:i/>
          <w:noProof/>
          <w:snapToGrid w:val="0"/>
          <w:sz w:val="28"/>
        </w:rPr>
        <w:t>—</w:t>
      </w:r>
      <w:r>
        <w:rPr>
          <w:i/>
          <w:snapToGrid w:val="0"/>
          <w:sz w:val="28"/>
        </w:rPr>
        <w:t xml:space="preserve"> предоставление гарантий при заимствовании средств на международных финансовых рынках;</w:t>
      </w:r>
    </w:p>
    <w:p w:rsidR="00FB35AD" w:rsidRDefault="00FB35AD" w:rsidP="00FB35AD">
      <w:pPr>
        <w:widowControl w:val="0"/>
        <w:numPr>
          <w:ilvl w:val="0"/>
          <w:numId w:val="1"/>
        </w:numPr>
        <w:jc w:val="both"/>
        <w:rPr>
          <w:i/>
          <w:snapToGrid w:val="0"/>
          <w:sz w:val="28"/>
        </w:rPr>
      </w:pPr>
      <w:r>
        <w:rPr>
          <w:i/>
          <w:noProof/>
          <w:snapToGrid w:val="0"/>
          <w:sz w:val="28"/>
        </w:rPr>
        <w:t>—</w:t>
      </w:r>
      <w:r>
        <w:rPr>
          <w:i/>
          <w:snapToGrid w:val="0"/>
          <w:sz w:val="28"/>
        </w:rPr>
        <w:t xml:space="preserve"> размещение ресурсов специальных фондов в соответствии с соглашениями.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ЕБРР не финансирует торговые фирмы и проекты, не выдает гарантий по экспортным кредитам и не занимается страхованием. Наиболее важные направления кредитно-финансовой политики: финансовый сектор, энергетика, телекоммуникации, транспорт, сельское хозяйство, приватизация, экология.</w:t>
      </w:r>
    </w:p>
    <w:p w:rsidR="00FB35AD" w:rsidRDefault="00FB35AD">
      <w:pPr>
        <w:widowControl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Деятельность ЕБРР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Большинство проектов, реализуемых ЕБРР в Восточной Европе, направлено на развитие инфраструктуры и телекоммуникаций. В Венгрии, Чехии, Словении, Польше и Румынии деятельность ЕБРР сосредоточена на оказании содействия приватизации, развитии кредитно-финансового сектора, решении экологических </w:t>
      </w:r>
      <w:r>
        <w:rPr>
          <w:i/>
          <w:snapToGrid w:val="0"/>
          <w:sz w:val="28"/>
        </w:rPr>
        <w:t>и</w:t>
      </w:r>
      <w:r>
        <w:rPr>
          <w:snapToGrid w:val="0"/>
          <w:sz w:val="28"/>
        </w:rPr>
        <w:t xml:space="preserve"> транспортных проблем, совершенствовании систем телекоммуникаций. На</w:t>
      </w:r>
      <w:r>
        <w:rPr>
          <w:noProof/>
          <w:snapToGrid w:val="0"/>
          <w:sz w:val="28"/>
        </w:rPr>
        <w:t xml:space="preserve"> 1995</w:t>
      </w:r>
      <w:r>
        <w:rPr>
          <w:snapToGrid w:val="0"/>
          <w:sz w:val="28"/>
        </w:rPr>
        <w:t xml:space="preserve"> г. ЕБРР одобрил около</w:t>
      </w:r>
      <w:r>
        <w:rPr>
          <w:noProof/>
          <w:snapToGrid w:val="0"/>
          <w:sz w:val="28"/>
        </w:rPr>
        <w:t xml:space="preserve"> 150</w:t>
      </w:r>
      <w:r>
        <w:rPr>
          <w:snapToGrid w:val="0"/>
          <w:sz w:val="28"/>
        </w:rPr>
        <w:t xml:space="preserve"> инвестиционных проектов на сумму свыше</w:t>
      </w:r>
      <w:r>
        <w:rPr>
          <w:noProof/>
          <w:snapToGrid w:val="0"/>
          <w:sz w:val="28"/>
        </w:rPr>
        <w:t xml:space="preserve"> 11</w:t>
      </w:r>
      <w:r>
        <w:rPr>
          <w:snapToGrid w:val="0"/>
          <w:sz w:val="28"/>
        </w:rPr>
        <w:t xml:space="preserve"> млрд. дол.</w:t>
      </w:r>
    </w:p>
    <w:p w:rsidR="00FB35AD" w:rsidRDefault="00FB35AD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На начато</w:t>
      </w:r>
      <w:r>
        <w:rPr>
          <w:noProof/>
          <w:snapToGrid w:val="0"/>
          <w:sz w:val="28"/>
        </w:rPr>
        <w:t xml:space="preserve"> 1995</w:t>
      </w:r>
      <w:r>
        <w:rPr>
          <w:snapToGrid w:val="0"/>
          <w:sz w:val="28"/>
        </w:rPr>
        <w:t xml:space="preserve"> г. ЕБРР заключил</w:t>
      </w:r>
      <w:r>
        <w:rPr>
          <w:noProof/>
          <w:snapToGrid w:val="0"/>
          <w:sz w:val="28"/>
        </w:rPr>
        <w:t xml:space="preserve"> 35</w:t>
      </w:r>
      <w:r>
        <w:rPr>
          <w:snapToGrid w:val="0"/>
          <w:sz w:val="28"/>
        </w:rPr>
        <w:t xml:space="preserve"> договоров о фондах сотрудничества по оказанию технического содействия, общий объем средств по которым составил</w:t>
      </w:r>
      <w:r>
        <w:rPr>
          <w:noProof/>
          <w:snapToGrid w:val="0"/>
          <w:sz w:val="28"/>
        </w:rPr>
        <w:t xml:space="preserve"> 263,4</w:t>
      </w:r>
      <w:r>
        <w:rPr>
          <w:snapToGrid w:val="0"/>
          <w:sz w:val="28"/>
        </w:rPr>
        <w:t xml:space="preserve"> млн. ЭКЮ, из которых </w:t>
      </w:r>
      <w:r>
        <w:rPr>
          <w:noProof/>
          <w:snapToGrid w:val="0"/>
          <w:sz w:val="28"/>
        </w:rPr>
        <w:t>220</w:t>
      </w:r>
      <w:r>
        <w:rPr>
          <w:snapToGrid w:val="0"/>
          <w:sz w:val="28"/>
        </w:rPr>
        <w:t xml:space="preserve"> млн. ЭКЮ было распределено на оказание технического содействия по</w:t>
      </w:r>
      <w:r>
        <w:rPr>
          <w:noProof/>
          <w:snapToGrid w:val="0"/>
          <w:sz w:val="28"/>
        </w:rPr>
        <w:t xml:space="preserve"> 872</w:t>
      </w:r>
      <w:r>
        <w:rPr>
          <w:snapToGrid w:val="0"/>
          <w:sz w:val="28"/>
        </w:rPr>
        <w:t xml:space="preserve"> проектам.</w:t>
      </w:r>
    </w:p>
    <w:p w:rsidR="00FB35AD" w:rsidRDefault="00FB35AD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По оценкам экспертов ЕБРР, для достижения стандартов охраны окружающей среды в государствах Центральной и Восточной Европы понадобятся финансовые средства ЕБРР на сумму в</w:t>
      </w:r>
      <w:r>
        <w:rPr>
          <w:noProof/>
          <w:snapToGrid w:val="0"/>
          <w:sz w:val="28"/>
        </w:rPr>
        <w:t xml:space="preserve"> 100— 108</w:t>
      </w:r>
      <w:r>
        <w:rPr>
          <w:snapToGrid w:val="0"/>
          <w:sz w:val="28"/>
        </w:rPr>
        <w:t xml:space="preserve"> млрд. ЭКЮ. 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ЕБРР участвует в региональных экологических программах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по Черному морю и Дунаю ("Дунайская программа"—</w:t>
      </w:r>
      <w:r>
        <w:rPr>
          <w:noProof/>
          <w:snapToGrid w:val="0"/>
          <w:sz w:val="28"/>
        </w:rPr>
        <w:t xml:space="preserve"> 700</w:t>
      </w:r>
      <w:r>
        <w:rPr>
          <w:snapToGrid w:val="0"/>
          <w:sz w:val="28"/>
        </w:rPr>
        <w:t xml:space="preserve"> млн. ЭКЮ), а также по Балтийскому морю ("Балтийская программа"</w:t>
      </w:r>
      <w:r>
        <w:rPr>
          <w:noProof/>
          <w:snapToGrid w:val="0"/>
          <w:sz w:val="28"/>
        </w:rPr>
        <w:t xml:space="preserve"> — 3,2</w:t>
      </w:r>
      <w:r>
        <w:rPr>
          <w:snapToGrid w:val="0"/>
          <w:sz w:val="28"/>
        </w:rPr>
        <w:t xml:space="preserve"> млрд. ЭКЮ), содействует внедрению эффективных систем очистки в национальных отраслях экономики: топливо и энергетика, производство энергии, транспорт. Экологический консультативный совет ЕБРР содействует проведению экологического анализа, оценки и аудита экологических проектов. </w:t>
      </w:r>
    </w:p>
    <w:p w:rsidR="00FB35AD" w:rsidRDefault="00FB35AD">
      <w:pPr>
        <w:widowControl w:val="0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ЕБРР содействует повышению ядерной безопасности (на специальном счете имеется</w:t>
      </w:r>
      <w:r>
        <w:rPr>
          <w:noProof/>
          <w:snapToGrid w:val="0"/>
          <w:sz w:val="28"/>
        </w:rPr>
        <w:t xml:space="preserve"> 154</w:t>
      </w:r>
      <w:r>
        <w:rPr>
          <w:snapToGrid w:val="0"/>
          <w:sz w:val="28"/>
        </w:rPr>
        <w:t xml:space="preserve"> млн. ЭКЮ для этой цели): производится модернизация ядерных реакторов на АЭС в Козлодуе (Болгария;</w:t>
      </w:r>
      <w:r>
        <w:rPr>
          <w:noProof/>
          <w:snapToGrid w:val="0"/>
          <w:sz w:val="28"/>
        </w:rPr>
        <w:t xml:space="preserve"> 24</w:t>
      </w:r>
      <w:r>
        <w:rPr>
          <w:snapToGrid w:val="0"/>
          <w:sz w:val="28"/>
        </w:rPr>
        <w:t xml:space="preserve"> млн. ЭКЮ), на Игналинской АЭС (Литва;</w:t>
      </w:r>
      <w:r>
        <w:rPr>
          <w:noProof/>
          <w:snapToGrid w:val="0"/>
          <w:sz w:val="28"/>
        </w:rPr>
        <w:t xml:space="preserve"> 33</w:t>
      </w:r>
      <w:r>
        <w:rPr>
          <w:snapToGrid w:val="0"/>
          <w:sz w:val="28"/>
        </w:rPr>
        <w:t xml:space="preserve"> млн. ЭКЮ), на АЭС в Сосновом бору (Ленинградская область;</w:t>
      </w:r>
      <w:r>
        <w:rPr>
          <w:noProof/>
          <w:snapToGrid w:val="0"/>
          <w:sz w:val="28"/>
        </w:rPr>
        <w:t xml:space="preserve"> 30</w:t>
      </w:r>
      <w:r>
        <w:rPr>
          <w:snapToGrid w:val="0"/>
          <w:sz w:val="28"/>
        </w:rPr>
        <w:t xml:space="preserve"> млн. ЭКЮ).</w:t>
      </w:r>
    </w:p>
    <w:p w:rsidR="00FB35AD" w:rsidRDefault="00FB35AD" w:rsidP="00FB35AD">
      <w:pPr>
        <w:numPr>
          <w:ilvl w:val="0"/>
          <w:numId w:val="48"/>
        </w:numPr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>Список использованной литературы.</w:t>
      </w:r>
    </w:p>
    <w:p w:rsidR="00FB35AD" w:rsidRDefault="00FB35AD">
      <w:pPr>
        <w:rPr>
          <w:rFonts w:ascii="Courier New" w:hAnsi="Courier New"/>
          <w:sz w:val="24"/>
        </w:rPr>
      </w:pPr>
    </w:p>
    <w:p w:rsidR="00FB35AD" w:rsidRDefault="00FB35AD" w:rsidP="00FB35A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Авдокушин Е.К. Международные экономические отношения. - М., 1996.</w:t>
      </w:r>
    </w:p>
    <w:p w:rsidR="00FB35AD" w:rsidRDefault="00FB35AD" w:rsidP="00FB35A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Красавина Л.Н. Международные валютно-кредитные и финансовые отношения  </w:t>
      </w:r>
    </w:p>
    <w:p w:rsidR="00FB35AD" w:rsidRDefault="00FB35AD" w:rsidP="00FB35A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Федоров М.В. Валюта, валютные системы и валютные курсы. - М., 1995.</w:t>
      </w:r>
    </w:p>
    <w:p w:rsidR="00FB35AD" w:rsidRDefault="00FB35AD" w:rsidP="00FB35A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О валютном регулировании и валютном контроле в Российской Федерации. </w:t>
      </w:r>
    </w:p>
    <w:p w:rsidR="00FB35AD" w:rsidRDefault="00FB35AD" w:rsidP="00FB35AD">
      <w:pPr>
        <w:pStyle w:val="30"/>
        <w:numPr>
          <w:ilvl w:val="0"/>
          <w:numId w:val="5"/>
        </w:numPr>
      </w:pPr>
      <w:r>
        <w:t>Положения международного валютного фонда.</w:t>
      </w:r>
    </w:p>
    <w:p w:rsidR="00FB35AD" w:rsidRDefault="00FB35AD" w:rsidP="00FB35AD">
      <w:pPr>
        <w:pStyle w:val="1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E-mail: </w:t>
      </w:r>
      <w:r w:rsidRPr="003C1820">
        <w:t>rdc@centro.ru</w:t>
      </w:r>
    </w:p>
    <w:p w:rsidR="00FB35AD" w:rsidRDefault="00FB35AD" w:rsidP="00FB35AD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"Валютный рынок и валютное регулирование". Учебное пособие/Под ред. И.Н.Платоновой. - Издательство "БЕК", 1996.</w:t>
      </w:r>
    </w:p>
    <w:p w:rsidR="00FB35AD" w:rsidRDefault="00FB35AD" w:rsidP="00FB35AD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А.Эрлих "Технический анализ товарных и финансовых рынков". И-во "Инфра - М" 1996.</w:t>
      </w:r>
    </w:p>
    <w:p w:rsidR="00FB35AD" w:rsidRDefault="00FB35AD" w:rsidP="00FB35AD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Т.Демарк "Технический анализ, новая наука". Москва, "Диаграмма", 1997. </w:t>
      </w:r>
    </w:p>
    <w:p w:rsidR="00FB35AD" w:rsidRDefault="00FB35AD" w:rsidP="00FB35AD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Экономика зарубежных стран: капиталистические и развивающиеся страны. Учебное пособие для экон. спец. вузов. Ред. кол. В. П. Колесов и др. Москва, Высш. шк. , 1990. </w:t>
      </w:r>
    </w:p>
    <w:p w:rsidR="00FB35AD" w:rsidRDefault="00FB35AD" w:rsidP="00FB35AD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Алексеев М. Ю. Рынок ценных бумаг. Москва: Финансы и статистика, 1992. </w:t>
      </w:r>
    </w:p>
    <w:p w:rsidR="00FB35AD" w:rsidRDefault="00FB35AD" w:rsidP="00FB35AD">
      <w:pPr>
        <w:numPr>
          <w:ilvl w:val="0"/>
          <w:numId w:val="12"/>
        </w:numPr>
        <w:jc w:val="both"/>
        <w:rPr>
          <w:rFonts w:ascii="HelvDL" w:hAnsi="HelvDL"/>
          <w:sz w:val="28"/>
        </w:rPr>
      </w:pPr>
      <w:r>
        <w:rPr>
          <w:rFonts w:ascii="HelvDL" w:hAnsi="HelvDL"/>
          <w:sz w:val="28"/>
        </w:rPr>
        <w:t>Толковый словарь экономических терминов “Это - бизнес”. Киев, “Альтерпрес”, 1996г.</w:t>
      </w:r>
    </w:p>
    <w:p w:rsidR="00FB35AD" w:rsidRDefault="00FB35AD" w:rsidP="00FB35AD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"Валютный рынок и валютное регулирование". Учебное пособие/Под ред. И.Н.Платоновой. - Издательство "БЕК", 1996.</w:t>
      </w:r>
    </w:p>
    <w:p w:rsidR="00FB35AD" w:rsidRDefault="00FB35AD">
      <w:pPr>
        <w:ind w:firstLine="90"/>
        <w:rPr>
          <w:sz w:val="28"/>
          <w:lang w:val="en-US"/>
        </w:rPr>
      </w:pPr>
    </w:p>
    <w:p w:rsidR="00FB35AD" w:rsidRDefault="00FB35AD">
      <w:pPr>
        <w:jc w:val="both"/>
        <w:rPr>
          <w:sz w:val="28"/>
        </w:rPr>
      </w:pPr>
    </w:p>
    <w:p w:rsidR="00FB35AD" w:rsidRDefault="00FB35AD">
      <w:pPr>
        <w:jc w:val="both"/>
        <w:rPr>
          <w:sz w:val="28"/>
        </w:rPr>
      </w:pPr>
      <w:bookmarkStart w:id="0" w:name="_GoBack"/>
      <w:bookmarkEnd w:id="0"/>
    </w:p>
    <w:sectPr w:rsidR="00FB35AD">
      <w:headerReference w:type="even" r:id="rId8"/>
      <w:head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AD" w:rsidRDefault="00FB35AD">
      <w:r>
        <w:separator/>
      </w:r>
    </w:p>
  </w:endnote>
  <w:endnote w:type="continuationSeparator" w:id="0">
    <w:p w:rsidR="00FB35AD" w:rsidRDefault="00FB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AD" w:rsidRDefault="00FB35AD">
      <w:r>
        <w:separator/>
      </w:r>
    </w:p>
  </w:footnote>
  <w:footnote w:type="continuationSeparator" w:id="0">
    <w:p w:rsidR="00FB35AD" w:rsidRDefault="00FB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AD" w:rsidRDefault="00FB35AD">
    <w:pPr>
      <w:pStyle w:val="a5"/>
      <w:framePr w:wrap="around" w:vAnchor="text" w:hAnchor="margin" w:xAlign="right" w:y="1"/>
      <w:rPr>
        <w:rStyle w:val="a6"/>
      </w:rPr>
    </w:pPr>
  </w:p>
  <w:p w:rsidR="00FB35AD" w:rsidRDefault="00FB35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AD" w:rsidRDefault="003C1820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2</w:t>
    </w:r>
  </w:p>
  <w:p w:rsidR="00FB35AD" w:rsidRDefault="00FB3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D7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50163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C40A9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C593A0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135293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8C016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E5707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BD28B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8E1703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AEB2F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1845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DB7779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D3204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27F76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34F204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3EE6F9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441572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B671F4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66F29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24D4D2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A27C6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36E075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68360C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7D50CA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8A06BF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9021501"/>
    <w:multiLevelType w:val="singleLevel"/>
    <w:tmpl w:val="1DBC335C"/>
    <w:lvl w:ilvl="0">
      <w:start w:val="3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E514D0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F8A2F1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FA65F8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53F63E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71504C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A60621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AF772F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C07448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D345B8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402619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5A961C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5F2509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7C66FB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CF0700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D941E9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BF761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E9C1F1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6A148E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8EC398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967471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AE9144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AFE40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40"/>
  </w:num>
  <w:num w:numId="4">
    <w:abstractNumId w:val="20"/>
  </w:num>
  <w:num w:numId="5">
    <w:abstractNumId w:val="35"/>
  </w:num>
  <w:num w:numId="6">
    <w:abstractNumId w:val="12"/>
  </w:num>
  <w:num w:numId="7">
    <w:abstractNumId w:val="37"/>
  </w:num>
  <w:num w:numId="8">
    <w:abstractNumId w:val="7"/>
  </w:num>
  <w:num w:numId="9">
    <w:abstractNumId w:val="30"/>
  </w:num>
  <w:num w:numId="10">
    <w:abstractNumId w:val="4"/>
  </w:num>
  <w:num w:numId="11">
    <w:abstractNumId w:val="1"/>
  </w:num>
  <w:num w:numId="12">
    <w:abstractNumId w:val="32"/>
  </w:num>
  <w:num w:numId="13">
    <w:abstractNumId w:val="41"/>
  </w:num>
  <w:num w:numId="14">
    <w:abstractNumId w:val="28"/>
  </w:num>
  <w:num w:numId="15">
    <w:abstractNumId w:val="17"/>
  </w:num>
  <w:num w:numId="16">
    <w:abstractNumId w:val="38"/>
  </w:num>
  <w:num w:numId="17">
    <w:abstractNumId w:val="15"/>
  </w:num>
  <w:num w:numId="18">
    <w:abstractNumId w:val="13"/>
  </w:num>
  <w:num w:numId="19">
    <w:abstractNumId w:val="22"/>
  </w:num>
  <w:num w:numId="20">
    <w:abstractNumId w:val="39"/>
  </w:num>
  <w:num w:numId="21">
    <w:abstractNumId w:val="19"/>
  </w:num>
  <w:num w:numId="22">
    <w:abstractNumId w:val="21"/>
  </w:num>
  <w:num w:numId="23">
    <w:abstractNumId w:val="45"/>
  </w:num>
  <w:num w:numId="24">
    <w:abstractNumId w:val="46"/>
  </w:num>
  <w:num w:numId="25">
    <w:abstractNumId w:val="27"/>
  </w:num>
  <w:num w:numId="26">
    <w:abstractNumId w:val="10"/>
  </w:num>
  <w:num w:numId="27">
    <w:abstractNumId w:val="36"/>
  </w:num>
  <w:num w:numId="28">
    <w:abstractNumId w:val="23"/>
  </w:num>
  <w:num w:numId="29">
    <w:abstractNumId w:val="29"/>
  </w:num>
  <w:num w:numId="30">
    <w:abstractNumId w:val="43"/>
  </w:num>
  <w:num w:numId="31">
    <w:abstractNumId w:val="8"/>
  </w:num>
  <w:num w:numId="32">
    <w:abstractNumId w:val="16"/>
  </w:num>
  <w:num w:numId="33">
    <w:abstractNumId w:val="5"/>
  </w:num>
  <w:num w:numId="34">
    <w:abstractNumId w:val="44"/>
  </w:num>
  <w:num w:numId="35">
    <w:abstractNumId w:val="47"/>
  </w:num>
  <w:num w:numId="36">
    <w:abstractNumId w:val="26"/>
  </w:num>
  <w:num w:numId="37">
    <w:abstractNumId w:val="24"/>
  </w:num>
  <w:num w:numId="38">
    <w:abstractNumId w:val="11"/>
  </w:num>
  <w:num w:numId="39">
    <w:abstractNumId w:val="6"/>
  </w:num>
  <w:num w:numId="40">
    <w:abstractNumId w:val="3"/>
  </w:num>
  <w:num w:numId="41">
    <w:abstractNumId w:val="0"/>
  </w:num>
  <w:num w:numId="42">
    <w:abstractNumId w:val="9"/>
  </w:num>
  <w:num w:numId="43">
    <w:abstractNumId w:val="14"/>
  </w:num>
  <w:num w:numId="44">
    <w:abstractNumId w:val="2"/>
  </w:num>
  <w:num w:numId="45">
    <w:abstractNumId w:val="34"/>
  </w:num>
  <w:num w:numId="46">
    <w:abstractNumId w:val="42"/>
  </w:num>
  <w:num w:numId="47">
    <w:abstractNumId w:val="18"/>
  </w:num>
  <w:num w:numId="48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820"/>
    <w:rsid w:val="00354156"/>
    <w:rsid w:val="003C1820"/>
    <w:rsid w:val="00945D90"/>
    <w:rsid w:val="00F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8A5E66-088A-4522-9028-08FC274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7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36"/>
    </w:rPr>
  </w:style>
  <w:style w:type="paragraph" w:styleId="4">
    <w:name w:val="heading 4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sz w:val="36"/>
    </w:rPr>
  </w:style>
  <w:style w:type="paragraph" w:styleId="5">
    <w:name w:val="heading 5"/>
    <w:basedOn w:val="a"/>
    <w:next w:val="a"/>
    <w:qFormat/>
    <w:pPr>
      <w:keepNext/>
      <w:framePr w:dropCap="drop" w:lines="3" w:hSpace="113" w:wrap="around" w:vAnchor="text" w:hAnchor="text"/>
      <w:spacing w:line="960" w:lineRule="exact"/>
      <w:jc w:val="both"/>
      <w:outlineLvl w:val="4"/>
    </w:pPr>
    <w:rPr>
      <w:position w:val="-13"/>
      <w:sz w:val="11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36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44"/>
      <w:u w:val="single"/>
    </w:rPr>
  </w:style>
  <w:style w:type="paragraph" w:styleId="8">
    <w:name w:val="heading 8"/>
    <w:basedOn w:val="a"/>
    <w:next w:val="a"/>
    <w:qFormat/>
    <w:pPr>
      <w:keepNext/>
      <w:framePr w:dropCap="drop" w:lines="3" w:hSpace="113" w:wrap="around" w:vAnchor="text" w:hAnchor="text"/>
      <w:spacing w:line="960" w:lineRule="exact"/>
      <w:outlineLvl w:val="7"/>
    </w:pPr>
    <w:rPr>
      <w:position w:val="-13"/>
      <w:sz w:val="110"/>
    </w:rPr>
  </w:style>
  <w:style w:type="paragraph" w:styleId="9">
    <w:name w:val="heading 9"/>
    <w:basedOn w:val="a"/>
    <w:next w:val="a"/>
    <w:qFormat/>
    <w:pPr>
      <w:keepNext/>
      <w:ind w:firstLine="567"/>
      <w:jc w:val="center"/>
      <w:outlineLvl w:val="8"/>
    </w:pPr>
    <w:rPr>
      <w:b/>
      <w:i/>
      <w:sz w:val="4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36"/>
      <w:u w:val="single"/>
    </w:rPr>
  </w:style>
  <w:style w:type="paragraph" w:styleId="a4">
    <w:name w:val="caption"/>
    <w:basedOn w:val="a"/>
    <w:next w:val="a"/>
    <w:qFormat/>
    <w:pPr>
      <w:jc w:val="center"/>
    </w:pPr>
    <w:rPr>
      <w:sz w:val="36"/>
    </w:rPr>
  </w:style>
  <w:style w:type="paragraph" w:styleId="20">
    <w:name w:val="Body Text 2"/>
    <w:basedOn w:val="a"/>
    <w:semiHidden/>
    <w:rPr>
      <w:rFonts w:ascii="Arial" w:hAnsi="Arial"/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character" w:customStyle="1" w:styleId="Variable">
    <w:name w:val="Variable"/>
    <w:rPr>
      <w:i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widowControl w:val="0"/>
      <w:spacing w:before="60"/>
      <w:ind w:firstLine="142"/>
      <w:jc w:val="both"/>
    </w:pPr>
    <w:rPr>
      <w:rFonts w:ascii="Garamond" w:hAnsi="Garamond"/>
      <w:snapToGrid w:val="0"/>
      <w:sz w:val="24"/>
    </w:rPr>
  </w:style>
  <w:style w:type="paragraph" w:styleId="10">
    <w:name w:val="toc 1"/>
    <w:basedOn w:val="a"/>
    <w:next w:val="a"/>
    <w:autoRedefine/>
    <w:semiHidden/>
    <w:pPr>
      <w:spacing w:before="120" w:after="120"/>
    </w:pPr>
    <w:rPr>
      <w:b/>
      <w:caps/>
    </w:rPr>
  </w:style>
  <w:style w:type="paragraph" w:styleId="21">
    <w:name w:val="toc 2"/>
    <w:basedOn w:val="a"/>
    <w:next w:val="a"/>
    <w:autoRedefine/>
    <w:semiHidden/>
    <w:pPr>
      <w:ind w:left="200"/>
    </w:pPr>
    <w:rPr>
      <w:smallCaps/>
    </w:rPr>
  </w:style>
  <w:style w:type="paragraph" w:styleId="31">
    <w:name w:val="toc 3"/>
    <w:basedOn w:val="a"/>
    <w:next w:val="a"/>
    <w:autoRedefine/>
    <w:semiHidden/>
    <w:pPr>
      <w:ind w:left="400"/>
    </w:pPr>
    <w:rPr>
      <w:i/>
    </w:rPr>
  </w:style>
  <w:style w:type="paragraph" w:styleId="32">
    <w:name w:val="Body Text Indent 3"/>
    <w:basedOn w:val="a"/>
    <w:semiHidden/>
    <w:pPr>
      <w:ind w:firstLine="567"/>
      <w:jc w:val="both"/>
    </w:pPr>
    <w:rPr>
      <w:i/>
      <w:sz w:val="28"/>
    </w:rPr>
  </w:style>
  <w:style w:type="character" w:styleId="a8">
    <w:name w:val="Hyperlink"/>
    <w:semiHidden/>
    <w:rPr>
      <w:color w:val="0000FF"/>
      <w:u w:val="single"/>
    </w:rPr>
  </w:style>
  <w:style w:type="paragraph" w:styleId="22">
    <w:name w:val="Body Text Indent 2"/>
    <w:basedOn w:val="a"/>
    <w:semiHidden/>
    <w:pPr>
      <w:spacing w:before="60"/>
      <w:ind w:firstLine="284"/>
      <w:jc w:val="both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19435</Words>
  <Characters>110785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«Оглавление» </vt:lpstr>
    </vt:vector>
  </TitlesOfParts>
  <Company>Кондор</Company>
  <LinksUpToDate>false</LinksUpToDate>
  <CharactersWithSpaces>129961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«Оглавление» </dc:title>
  <dc:subject/>
  <dc:creator>Михалыч</dc:creator>
  <cp:keywords/>
  <cp:lastModifiedBy>admin</cp:lastModifiedBy>
  <cp:revision>2</cp:revision>
  <cp:lastPrinted>2000-01-31T14:12:00Z</cp:lastPrinted>
  <dcterms:created xsi:type="dcterms:W3CDTF">2014-02-12T17:23:00Z</dcterms:created>
  <dcterms:modified xsi:type="dcterms:W3CDTF">2014-02-12T17:23:00Z</dcterms:modified>
</cp:coreProperties>
</file>