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78" w:rsidRDefault="00153578">
      <w:pPr>
        <w:pStyle w:val="2"/>
        <w:rPr>
          <w:kern w:val="0"/>
        </w:rPr>
      </w:pPr>
      <w:r>
        <w:rPr>
          <w:kern w:val="0"/>
        </w:rPr>
        <w:t>МОДЕЛИРОВАНИЕ СИСТЕМ ЗНАНИЙ, НЕОБХОДИМЫХ ДЛЯ РАССЛЕДОВАНИЯ ФАЛЬШИВОМОНЕТНИЧЕСТВА</w:t>
      </w:r>
    </w:p>
    <w:p w:rsidR="00153578" w:rsidRDefault="00153578"/>
    <w:p w:rsidR="00153578" w:rsidRDefault="00153578">
      <w:r>
        <w:t xml:space="preserve">Уголовная ответственность за фальшивомонетничество предусмотрена ст.221 Уголовного кодекса Республики Беларусь. </w:t>
      </w:r>
    </w:p>
    <w:p w:rsidR="00153578" w:rsidRDefault="00153578">
      <w:r>
        <w:t xml:space="preserve">В соответствии с законом уголовно наказуемым является изготовление или хранение с целью сбыта либо сбыт поддельной официальной денежной единицы Республики Беларусь (национальной валюты), государственных или иных ценных бумаг, номинированных в национальной валюте, иностранной валюты или ценных бун маг, номинированных в иностранной валюте. В качестве квалифицирующих признаков предусмотрено совершение перечисленных действий повторно, либо организованной группой, либо в особо крупном размере. </w:t>
      </w:r>
    </w:p>
    <w:p w:rsidR="00153578" w:rsidRDefault="00153578">
      <w:r>
        <w:t xml:space="preserve">В соответствии со ст.12 УК Республики Беларусь деяния, ответственность за которые предусмотрена ч.1 ст.221 УК, относятся к категории тяжких преступлений, а криминальные проявления ответственность за которые предусмотрена ч.2 ст.221 УК, - к категории особо тяжких преступлений. </w:t>
      </w:r>
    </w:p>
    <w:p w:rsidR="00153578" w:rsidRDefault="00153578">
      <w:r>
        <w:t xml:space="preserve">В примечании к гл.25 УК Республики Беларусь отмечается, что особо крупным признается размер в сумме, которая в тысячу и более, раз превышает размер минимальной заработной платы, установленной на день совершения преступления. </w:t>
      </w:r>
    </w:p>
    <w:p w:rsidR="00153578" w:rsidRDefault="00153578">
      <w:r>
        <w:t xml:space="preserve">Анализ законодательной нормы позволяет считать, что фальшивомонетничество выражается, как уже отмечалось, с учетом анализа криминалистической структуры рассматриваемого преступления, в совершении одного из трех действий, являющихся альтернативными: изготовлении, хранении или сбыте поддельных денег или ценных бумаг. Выполнения хотя бы одного из них достаточно для привлечения виновного к уголовной ответственности по ст.221 УК. В качестве предмета преступления выступают поддельные деньги или ценные бумаги: </w:t>
      </w:r>
    </w:p>
    <w:p w:rsidR="00153578" w:rsidRDefault="00153578">
      <w:pPr>
        <w:pStyle w:val="a"/>
        <w:jc w:val="both"/>
      </w:pPr>
      <w:r>
        <w:t xml:space="preserve">официальная денежная единица (национальная валюта) Республики Беларусь - белорусский рубль, который эмитируется Национальным банком Республики Беларусь и в соответствии со ст.141 Гражданского кодекса “является законным платежным средством, обязательным к приему по нарицательной стоимости на всей территории Республики Беларусь”. В настоящее время национальная валюта представлена в виде денежных знаков, именуемых расчетными билетами Национального банка; </w:t>
      </w:r>
    </w:p>
    <w:p w:rsidR="00153578" w:rsidRDefault="00153578">
      <w:pPr>
        <w:pStyle w:val="a"/>
        <w:jc w:val="both"/>
      </w:pPr>
      <w:r>
        <w:t xml:space="preserve">иностранная валюта - денежные знаки, эмитируемые государственными учреждениями иностранных государств независимо от того, является валюта конвертируемой или неконвертируемой. Это банкноты, казначейские билеты и монеты, находящиеся в обращении и являющиеся законным платежным средством в соответствующем иностранном государстве или группе государств; </w:t>
      </w:r>
    </w:p>
    <w:p w:rsidR="00153578" w:rsidRDefault="00153578">
      <w:pPr>
        <w:pStyle w:val="a"/>
        <w:jc w:val="both"/>
      </w:pPr>
      <w:r>
        <w:t>государственная или иная ценная бумага, номинированная в национальной валюте. Это документ, эмитируемый в установленном порядке государственным органом Республики Беларусь или юридическим лицом, нарицательная стоимость которого определена в национальной валюте. Ценная бумага удостоверяет с соблюдением установленной формы и обязательных реквизитов имущественные права, осуществление которых возможно только при ее предъявлении. К ценным бумагам относятся государственные облигации, облигации юридических лиц,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и другие документы, которые законодательством о ценных бумагах или в установленном им порядке отнесены к таковым;) ценная бумага, номинированная в иностранной валюте</w:t>
      </w:r>
      <w:r>
        <w:rPr>
          <w:rStyle w:val="a8"/>
        </w:rPr>
        <w:footnoteReference w:id="1"/>
      </w:r>
      <w:r>
        <w:t xml:space="preserve">. </w:t>
      </w:r>
    </w:p>
    <w:p w:rsidR="00153578" w:rsidRDefault="00153578">
      <w:r>
        <w:t xml:space="preserve">Нормы уголовного права, помимо описанной классификационной роли, способствуют формированию модели предмета доказывания, наполняют ее необходимым содержанием. Именно квалификация преступления позволяет определить конкретные задачи расследования и обстоятельства, подлежащие доказыванию, которые были обозначены как структурная единица поисковой модели. </w:t>
      </w:r>
    </w:p>
    <w:p w:rsidR="00153578" w:rsidRDefault="00153578">
      <w:r>
        <w:t>Уголовно-процессуальный закон устанавливает общую процедуру расследования преступлений и изъятия из нее, определяя тем самым порядок и очередность действий следователя. Это, в свою очередь, обусловливает периодизацию процесса расследования и в известной степени планирование следствия. Уголовно-процессуальный закон исчерпывающим образом определяет круг следственных действий, с помощью которых осуществляется доказывание (ст.103 УПК), устанавливает общую форму предмета доказывания (ст.89 УПК), с учетом которой формируется его модель по делам о фальшивомонетничестве. Важнейшее значение для процесса сбора доказательств имеют требования уголовно-процессуального закона о быстром и полном раскрытии преступлений, всестороннем и объективном исследовании обстоятельств дела. Эти требования в сочетании с правилом неукоснительного обеспечения установленных законом процессуальных гарантий, прав и интересов участников процесса обязывают следователя исключить из своих действий односторонность и предвзятость</w:t>
      </w:r>
      <w:r>
        <w:rPr>
          <w:rStyle w:val="a8"/>
        </w:rPr>
        <w:footnoteReference w:id="2"/>
      </w:r>
      <w:r>
        <w:t xml:space="preserve">. </w:t>
      </w:r>
    </w:p>
    <w:p w:rsidR="00153578" w:rsidRDefault="00153578">
      <w:r>
        <w:t xml:space="preserve">Знание указанных положений необходимо при расследовании любого вида преступлений. Построение модели расследования фальшивомонетничества предполагает включение в модель юридических знаний и некоторых других положений уголовно-процессуального законодательства, непосредственно определяющих особенности расследования уголовных дел по рассматриваемому виду преступлений. Так, ч.7 ст.26 УПК Республики Беларусь факты фальшивомонетничества относит к делам публичного обвинения порядок возбуждения, которых определен в ст.175 УПК. Положения ст.181 УПК устанавливают обязательность предварительного следствия по делам о фальшивомонетничестве, а ч.7 ст.182 УПК определяет подследственность дел этой категории. Предварительное следствие по уголовным делам о преступлениях, предусмотренных ст.221 УК Республики Беларусь, производится) следователями органов предварительного следствия Министерства внутренних дел или органов государственной безопасности в зависимости от того, каким из названных органов возбуждено уголовное дело. Для координации деятельности правоохранительных органов в борьбе с фальшивомонетничеством в структуре Интерпола создано специальное подразделение (2-й отдел), осуществляющий информационное обеспечение стран - членов Интерпола в целях выявления и пресечения преступлений данного вида. </w:t>
      </w:r>
    </w:p>
    <w:p w:rsidR="00153578" w:rsidRDefault="00153578">
      <w:r>
        <w:t xml:space="preserve">Процесс доказывания требует максимальной оперативности и эффективности действий лиц, его осуществляющих. Следователь составляет себе представление о событии, которое предстоит расследовать, определяет перечень процессуальных и тактических средств доказывания и нейтрализации противодействия со стороны участников процесса. Решению этих задач служит система знаний тактических особенностей применения процессуальных средств. По делам о фальшивомонетничестве осмотр места происшествия отличается рядом особенностей. Прежде всего, следует отметить, что осмотру подлежат не одно, а, по крайней мере, два места. Осматриваются место изготовления фальшивок, и место их сбыта (или попытки сбыта). Следует помнить, что каждое из указанных мест редко ограничивается одним адресом. Изготовление фальшивых денег может быть начато в производственных условиях (на заводе, в типографии, где делаются матрицы, клише, пробные образцы), а продолжено в более безопасных местах - в доме, сарае, гараже, квартире. Места сбыта еще более разнообразны: магазины, рынки, бар рестораны, обменные пункты валюты и т.д. </w:t>
      </w:r>
      <w:r>
        <w:rPr>
          <w:rStyle w:val="a8"/>
        </w:rPr>
        <w:footnoteReference w:id="3"/>
      </w:r>
      <w:r>
        <w:t xml:space="preserve">. </w:t>
      </w:r>
    </w:p>
    <w:p w:rsidR="00153578" w:rsidRDefault="00153578">
      <w:r>
        <w:t xml:space="preserve">Необходимо учитывать и то обстоятельство, что место изготовления фальшивых денежных знаков к моменту его осмотра, как правило, имеет не ту обстановку, которая была во время работы фальшивомонетчиков. Приспособления, инструменты, материалы, используемые для подделки денег, тщательно прячутся, следы преступления уничтожаются или маскируются. </w:t>
      </w:r>
      <w:r w:rsidR="00CB3AA7">
        <w:rPr>
          <w:noProof/>
        </w:rPr>
        <w:pict>
          <v:line id="_x0000_s1026" style="position:absolute;left:0;text-align:left;z-index:251657728;mso-position-horizontal-relative:margin;mso-position-vertical-relative:text" from="727.2pt,209.5pt" to="727.2pt,432.2pt" o:allowincell="f" strokeweight=".7pt">
            <w10:wrap anchorx="margin"/>
          </v:line>
        </w:pict>
      </w:r>
      <w:r>
        <w:t xml:space="preserve">Одними процессуальными средствами, усилиями только следователей, даже имеющих солидный профессиональный опыт, раскрыть отдельные преступления бывает невозможно. Основной целью оперативно-розыскной работы при расследовании является создание благоприятных условий для всестороннего и объективного сбора доказательств. В этой связи оперативно-розыскные службы при оперативно-розыскном обеспечении расследования фальшивомонетничества решают следующие задачи: устанавливают лиц, подлежащих ответственности за изготовление, хранение, сбыт поддельных денежных знаков и ценных бумаг; устанавливают ранее не известные органам следствия дополнительные факты (эпизоды) фальшивомонетничества, совершенного подозреваемыми и обвиняемыми по данному конкретному уголовному делу; отыскивают поддельные банкноты и ценные бумаги, обеспечивают их сохранность и возможность сбора доказательств и иной информации; проводят розыск скрывшихся преступников, а также материалов и оборудования, которые использовались для изготовления фальшивых банкнот; проверяют относимость фактов к расследуемому событию; выясняют намерение подозреваемых, обвиняемых и других заинтересованных лиц с тем, чтобы нейтрализовать возможное противодействие; собирают данные, характеризующие личность фальшивомонетчиков, социально-психологические отношения в их преступных формированиях, с целью использования полученных сведений при допросах указанных лиц; осуществляют постоянный оперативный контроль за фальшивомонетчиками, в том числе и после отбытия ими наказания, для предотвращения совершения этими лицами новых преступлений. </w:t>
      </w:r>
    </w:p>
    <w:p w:rsidR="00153578" w:rsidRDefault="00153578">
      <w:r>
        <w:t xml:space="preserve">Банкноты изготавливаются на государственных полиграфических предприятиях, оборудованных специальными машинами, обеспечивающими получение печатной продукции высокого качества. Технология печатания денег унифицирована. Она должна обеспечить практичность банкнот, невозможность их подделки, для чего существует совокупность способов защиты денег, а также выполнение идентичности миллиардных тиражей в течение многих лет. Основу системы защиты банкнот составляют их элементы, например: водяной знак, микроволокна, включенные в состав бумаги, красящее вещество, люминесцирующее в ультрафиолетовых лучах, микропечать и т.д. </w:t>
      </w:r>
    </w:p>
    <w:p w:rsidR="00153578" w:rsidRDefault="00153578">
      <w:r>
        <w:t xml:space="preserve">Совокупность элементов защиты, объединенная поставленной целью - предохранением денежного знака от нескольких видов, либо от какого-то одного вида подделки, - представляет собой средство защиты, обеспечивающее достижение этой цели. Например, полоса безопасности с нанесенным на нее микротекстом, который исполнен красящим веществом, люминесцирующим в ультрафиолетовых лучах, представляет собой совокупность трех элементов защиты: нити, специального красящего вещества, микропечати. Сочетание нескольких элементов (средств) защиты, объединенных по какому-либо признаку, образует систему защиты денежного знака в целом или, отдельную подсистему определенного уровня. Например, подсистему защиты денежного знака от воспроизведения его средствами оперативной полиграфии, внесения в него изменений травлением (смыванием), подчисткой и т.д. </w:t>
      </w:r>
    </w:p>
    <w:p w:rsidR="00153578" w:rsidRDefault="00153578">
      <w:r>
        <w:t xml:space="preserve">Знания об элементах, образующих систему защиты денежных знаков и ценных бумаг от подделки, способах и особенностях печати подлинных банкнот, их сочетании с методами печати и элементами защиты при изготовлении денежных знаков различных государств, а также сведения о признаках того или иного вида печати, особенностях, характеризующих подлинные денежные купюры и иные ценные документы, необходимы для их осмотра и исследования по каждому уголовному делу, а значит и для достижения целей раскрытия, расследования и профилактики фальшивомонетничества. Для затруднения фальсификаций и облегчения диагностики подделки денежные знаки обеспечиваются защитными свойствами. Это достигается внесением в них комплекса элементов в результате использования специальных технологических приемов при изготовлении банкнот, определенным сочетанием способов полиграфического оформления, применением специальных материалов. Выделяют три вида защиты: технологическую, полиграфическую и физико-химическую. </w:t>
      </w:r>
    </w:p>
    <w:p w:rsidR="00153578" w:rsidRDefault="00153578">
      <w:r>
        <w:t xml:space="preserve">Технологическая защита - это комплекс визуально обнаруживаемых признаков отдельных реквизитов банкноты, полученных в результате использования специальных технологических приемов. К технологической защите относятся водяные знаки, бумага, защитные нити, защитные волокна, планшеты (конфетти), тип подложки, композиционный состав красок, кинеграммы. </w:t>
      </w:r>
    </w:p>
    <w:p w:rsidR="00153578" w:rsidRDefault="00153578">
      <w:r>
        <w:t xml:space="preserve">Полиграфическая защита заключается в использовании различных способов и приемов полиграфической печати, комбинация которых в совокупности с другими видами защиты существенно затрудняет подделку и облегчает ее обнаружение. Для полиграфического оформления банкнот используются высокая, плоская и глубокая печати. Названия способов основаны на взаиморасположении печатающих и пробельных элементов. На формах высокой печати печатающие элементы выступают над пробельными (отсюда название “высокая”); на формах плоской - печатающие и пробельные элементы находятся практически в одной плоскости; на формах глубокой печати печатающие элементы углублены по отношению к пробельным. В классическом виде данные способы печати при изготовлении денег используются довольно редко. Их усложненные разновидности - многокрасочные способы орловской и металлографской печати, офсетная высокая печать - обеспечивают более надежный уровень защиты. </w:t>
      </w:r>
    </w:p>
    <w:p w:rsidR="00153578" w:rsidRDefault="00153578">
      <w:r>
        <w:t xml:space="preserve">Физико-химическая защита денежных знаков основана на использовании в составах материалов добавок химических веществ, наличие которых определяется специальными методами. Для изготовления банкнот в качестве физико-химической защиты используются в основном люминофоры, обусловливающие свечение фрагментов изображений и отдельных реквизитов денежных знаков при их освещении ультрафиолетовым излучением и магнитные материалы, которые применяются для “автоматизированной” диагностики подлинности купюр с помощью специальных приборов. Названные материалы, как правило, используются в виде добавок в состав красок. Люминофоры могут применяться для нанесения светящихся в ультрафиолетовых лучах самостоятельных элементов, не связанных с основным полиграфическим оформлением банкнот, а также для окраски защитных волокон, вводимых в состав бумаги. </w:t>
      </w:r>
    </w:p>
    <w:p w:rsidR="00153578" w:rsidRDefault="00153578">
      <w:r>
        <w:t>Каждому виду деятельности присущ свой специфический набор средств и способов их использования. Характер средств любой преступной активности определяется ее целями, условиями осуществления, конкретными видами совершаемых деяний. К средствам фальшивомонетничества относятся как материальные объекты, предназначенные для достижения определенного результата, так и меры психологического и иного характера, призванные обеспечить достижение определенного результата. Изучение средств совершения фальшивомонетничества может быть осуществлено через исследование способов подделки денежных знаков, описание видов и признаков которых содержится в ряде источников</w:t>
      </w:r>
      <w:r>
        <w:rPr>
          <w:rStyle w:val="a8"/>
        </w:rPr>
        <w:footnoteReference w:id="4"/>
      </w:r>
      <w:r>
        <w:t xml:space="preserve">. </w:t>
      </w:r>
    </w:p>
    <w:p w:rsidR="00153578" w:rsidRDefault="00153578">
      <w:r>
        <w:t xml:space="preserve">Если проследить историю появления того или иного вида фальсификации, можно установить, что некоторые способы с годами практически перестали применяться, другие на протяжении длительного времени остаются широко используемыми. Кроме того, на современном этапе появляются новые способы. Наблюдается также тенденция сохранения отдельных способов в одних странах и полное их прекращение в других или преобладание определенного способа в отдельно взятой стране и незначительное его применение в другой. Так, в 60-х гг. на территории бывшего СССР широко использовалась подделка бумажных денег способами рисования, копирования (анастатический способ), фоторепродуцирования на черно-белом материале и фототипирования с последующей раскраской изображений цветными карандашами или акварельными красками. Относительно частым явлением было печатание фальшивых денежных знаков с литографского камня и клише, изготовленных с помощью гравирования и фотомеханических способов (глубокой, высокой - фотоцинкографией и плоской печатью). </w:t>
      </w:r>
    </w:p>
    <w:p w:rsidR="00153578" w:rsidRDefault="00153578">
      <w:r>
        <w:t xml:space="preserve">В 70-80-х гг. </w:t>
      </w:r>
      <w:r>
        <w:rPr>
          <w:lang w:val="en-US"/>
        </w:rPr>
        <w:t>XX</w:t>
      </w:r>
      <w:r>
        <w:t xml:space="preserve"> в. диапазон средств и приемов подделки денег значительно расширился. Использовались разнообразные методы, начиная от простого рисования до сложных полиграфических процессов. В организациях и на предприятиях стала появляться черно-белая копировально-множительная техника конторского класса, подпадающая под строгий контроль со стороны разрешительной системы органов внутренних дел. Однако это не помешало фальшивомонетчикам использовать ее для подделки денег и других ценных бумаг. За этот период не только расширился круг способов фальсификации денежных знаков, но и изменился подход к их выбору. Значительно реже фальшивомонетчики стали использовать рисование, черно-белую фотографию, метод влажного однократного копирования. Зато самыми распространенными видами подделки денег и ценных бумаг стали все виды полиграфии. Чаще всего применялась офсетная печать с фотомеханических форм, глубокая печать резцовой гравюры, а высокая - лишь в совокупности с глубокой или офсетной для нанесения отдельных изменяющихся реквизитов. </w:t>
      </w:r>
    </w:p>
    <w:p w:rsidR="00153578" w:rsidRDefault="00153578">
      <w:r>
        <w:t xml:space="preserve">В международной криминальной практике 90-х гг. </w:t>
      </w:r>
      <w:r>
        <w:rPr>
          <w:lang w:val="en-US"/>
        </w:rPr>
        <w:t>XX</w:t>
      </w:r>
      <w:r>
        <w:t xml:space="preserve"> в. различают следующие виды фальсификации бумажных денежных знаков: полную подделку с помощью оригинальных способов, полную фальсификацию с использованием вспомогательных способов, подделку по внешнему виду и частичную фальсификацию. Полная подделка с помощью оригинальных способов встречается довольно редко, так как требует знаний всех физических, химических и графических компонентов банкноты, больших затрат времени и обходится слишком дорого. </w:t>
      </w:r>
    </w:p>
    <w:p w:rsidR="00153578" w:rsidRDefault="00153578">
      <w:r>
        <w:t>При полной фальсификации с использованием вспомогательных способов воспроизводятся только графические элементы подлинной банкноты с помощью различных способов печати и средств, не соответствующих характеристикам настоящего производства. Это самая распространенная форма криминального изготовления банкнот. Осуществляя подделку по внешнему виду, фальшивомонетчик ограничивается воспроизведением графических элементов оригинала с помощью факсимиле, рисования, цветной и черно-белой фотографии, термографии и других методов. Наиболее распространено использование черно-белого и цветного электрофотокопирования. Частичная фальсификация предполагает использование различных способов для изменения первоначального номинала банкноты на больший. Этот вид подделки встречается достаточно часто, особенно в банкнотах одинакового формата, например долларах США. Из общего разнообразия видов преступного изготовления бумажных денежных знаков можно выделить использование полиграфического способа, копировально-множительной техники, принтеров ПЭВМ, а также переделывание, предполагающее монтаж, аппликацию, рисование и полиграфию</w:t>
      </w:r>
      <w:r>
        <w:rPr>
          <w:rStyle w:val="a8"/>
        </w:rPr>
        <w:footnoteReference w:id="5"/>
      </w:r>
      <w:r>
        <w:t xml:space="preserve">. </w:t>
      </w:r>
    </w:p>
    <w:p w:rsidR="00153578" w:rsidRDefault="00153578">
      <w:r>
        <w:t xml:space="preserve">Подделка денег с помощью полиграфической печати включает в себя два процесса - изготовление печатных форм и получение с них оттисков. Это самый опасный и наиболее распространенный способ подделки, поскольку все основные виды полиграфической печати применяются для изготовления подлинных денежных знаков. Полиграфический способ позволяет фальшивомонетчикам добиваться значительного сходства их продукции с подлинными банкнотами, экономически выгоден по трудозатратам и дает возможность получать большое количество поддельных банкнот с одного комплекта печатных форм. Анализ экспертной практики свидетельствует о постоянном повышении качества полиграфического воспроизведения фальшивых денежных знаков, что существенно усложняет процесс обнаружения и изъятия их из обращения. Применение полиграфии при подделке денежных знаков обусловлено наличием организованной преступности, появлением лиц, готовых финансировать производство фальшивых денег, а также возможностью бесконтрольного приобретения и использования полиграфического оборудования и материалов. Общими отличительными признаками фальшивых денег или их отдельных реквизитов, отпечатанных способом высокой печати, являются вдавленность линий рисунка в бумагу; утолщение красочного слоя по краям штрихов; расширение или прерывистость линий; глянцевый вид краски и ее неравномерное размещение в штрихах. </w:t>
      </w:r>
    </w:p>
    <w:p w:rsidR="00153578" w:rsidRDefault="00153578">
      <w:r>
        <w:t xml:space="preserve">Использование способа глубокой печати при подделке денег позволяет добиться высокого качества. Именно этот способ полиграфической печати является приоритетным с точки зрения защиты подлинных денежных знаков. Глубокая печать позволяет получить трехмерные изображения и печатные линии, воспринимаемые на ощупь. В изготовлении поддельных денежных знаков указанным способом могут участвовать лишь лица, имеющие доступ к гравировальной технике и обладающие соответствующими профессиональными навыками (художника и гравера). </w:t>
      </w:r>
    </w:p>
    <w:p w:rsidR="00153578" w:rsidRDefault="00153578">
      <w:r>
        <w:t xml:space="preserve">Отличительными признаками поддельных денег, отпечатанных способом глубокой печати, являются следующие: рельефно выступающий слой краски в штрихах, позволяющий ощущать линии изображения кончиками пальцев; объемный эффект рисунка; толщина красочного слоя; упрощение рисунков за счет отсутствия отдельных линий в них. С 1990г. все чаще для изготовления поддельных денежных знаков используется офсетная печать. Это объясняется увеличением количества малых печатно-издательских организаций, слабым контролем за полиграфическим производством, как со стороны администрации, так и со стороны правоохранительных органов, что приводит к хищениям с предприятий необходимых узлов, оборудования, впоследствии приспосабливаемых для изготовления поддельных денежных знаков в непроизводственных условиях. </w:t>
      </w:r>
    </w:p>
    <w:p w:rsidR="00153578" w:rsidRDefault="00153578">
      <w:r>
        <w:t xml:space="preserve">Для получения поддельных банкнот фальшивомонетчики в основном используют мокрую офсетную печать с фотомеханических печатных форм. Печатающие элементы на форме находятся практически в одной плоскости с пробельными и в оттиске характеризуются следующими признаками: равномерным распределением краски в штрихах; отсутствием какой-либо деформации бумаги; несколько расплывчатым состоянием краев штриха; возможностью рассмотреть структуру бумаги через слой краски. Поэтому наблюдается существенная разница между качеством печати подлинных банкнот (где используются сухой офсет и комплекс способов печати) и качеством подделок, что позволяет достаточно легко их выявлять. </w:t>
      </w:r>
    </w:p>
    <w:p w:rsidR="00153578" w:rsidRDefault="00153578">
      <w:r>
        <w:t>Шелкотрафаретный способ печати используется фальшивомонетчиками для подделки банкнот значительно реже, чем традиционные способы печати, при которых краска передается на бумагу путем контакта в отличие от трафаретной печати, когда краска проявляется через изображение на трафаретной форме. Вместе с тем этот способ позволяет получить на оттиске рельефное красочное изображение, создает эффект тактильности, присущий глубокой печати, что вводит в заблуждение пользователей при определении подлинности банкнот. Кроме этого, для шелкотрафарета характерно наличие сетчатого строения поверхностного слоя краски или краев штрихов, а сама краска имеет блеск</w:t>
      </w:r>
      <w:r>
        <w:rPr>
          <w:rStyle w:val="a8"/>
        </w:rPr>
        <w:footnoteReference w:id="6"/>
      </w:r>
      <w:r>
        <w:t xml:space="preserve">. </w:t>
      </w:r>
    </w:p>
    <w:p w:rsidR="00153578" w:rsidRDefault="00153578">
      <w:r>
        <w:t xml:space="preserve">Шелкотрафаретный способ печати достаточно прост и распространен не только на полиграфических предприятиях, но и среди художников, занимающихся станковой живописью. Несложное с технологической точки зрения оборудование и его относительная доступность позволяют фальшивомонетчикам использовать его в преступных целях. Перечень признаков подделки может быть дополнен списком дефектов, возникающих в результате нарушения некоторых технологических режимов изготовления печатных форм. К таким дефектам относятся отсутствие или искажение микроузоров и микротекстов; изменение рисунка гильоширных изображений; появление дефектов изображения в виде точек-марашек, штрихов, царапин, посторонних деталей; изменение геометрических размеров мелких элементов банкнот (например, утончение или частичное исчезновение тонких линий, утолщение или слияние нескольких тонких линий в одну толстую). </w:t>
      </w:r>
    </w:p>
    <w:p w:rsidR="00153578" w:rsidRDefault="00153578">
      <w:r>
        <w:t xml:space="preserve">Подделка денежных знаков на копировально-множительной и компьютерной технике стала возможной в связи с доступом к ней широкого круга лиц, невозможностью осуществления контроля применения этой техники, по назначению. </w:t>
      </w:r>
    </w:p>
    <w:p w:rsidR="00153578" w:rsidRDefault="00153578">
      <w:r>
        <w:t>За рубежом наибольшая угроза подделки банкнот возникла в 1987г., когда фирма “Са</w:t>
      </w:r>
      <w:r>
        <w:rPr>
          <w:lang w:val="en-US"/>
        </w:rPr>
        <w:t>n</w:t>
      </w:r>
      <w:r>
        <w:t>о</w:t>
      </w:r>
      <w:r>
        <w:rPr>
          <w:lang w:val="en-US"/>
        </w:rPr>
        <w:t>n</w:t>
      </w:r>
      <w:r>
        <w:t>” выпустила лазерный цветокопировальный аппарат “Са</w:t>
      </w:r>
      <w:r>
        <w:rPr>
          <w:lang w:val="en-US"/>
        </w:rPr>
        <w:t>n</w:t>
      </w:r>
      <w:r>
        <w:t>о</w:t>
      </w:r>
      <w:r>
        <w:rPr>
          <w:lang w:val="en-US"/>
        </w:rPr>
        <w:t>n</w:t>
      </w:r>
      <w:r>
        <w:t xml:space="preserve"> СЪ”. С тех пор на рынке появились и другие машины, использующие компьютерную и лазерную технологию, которые воспроизводят любой цвет или оттенок с помощью тонеров сине-зеленого, пурпурного, желтого и черного цветов. Качество цветокопировальных машин и компьютерной техники постоянно повышается, количество так называемых “случайных” фальшивомонетчиков за счет этого растет. </w:t>
      </w:r>
    </w:p>
    <w:p w:rsidR="00153578" w:rsidRDefault="00153578">
      <w:r>
        <w:t xml:space="preserve">Несмотря на все недостатки использования описанных способов изготовления фальшивых банкнот, в 1999г. выявлено более 200 случаев сбыта расчетных билетов Нацбанка Беларуси, полученных с использованием компьютерной техники и цветных принтеров. Кроме полной подделки банкнот широко практикуется их частичная фальсификация, т. е. переделка подлинных денежных знаков путем увеличения их номинала. </w:t>
      </w:r>
    </w:p>
    <w:p w:rsidR="00153578" w:rsidRDefault="00153578">
      <w:r>
        <w:t xml:space="preserve">Познание окружающего мира невозможно без широкого использования разнообразных технических средств, которые помогают исследовать не воспринимаемые в обычных условиях явления, события, процессы, обобщать полученные данные, дают возможность увеличить поток полезной информации, облегчают мыслительную деятельность человека, позволяют па практике проверять истинность наших знаний. Система знаний о технических средствах, применяемых при исследовании денежных знаков, предполагает наличие сведений о правовых основах применения технико-криминалистических средств в уголовном судопроизводстве, тактических приемах их использования при изучении банкнот, а также системе и возможностях самих приборов и оборудования для решения исследовательских задач. Вопросы о роли технических средств в процессе познания, процессуальные и криминалистические аспекты их применения многие годы остаются предметом обсуждения и исследования криминалистов и процессуалистов. Проблемы применения научно-технических средств в процессе расследования преступлений рассматриваются в трудах Г.И. Грамовича, который проанализировал теоретические основы и принципы применения технических средств, дал их классификацию. Он детально исследовал точки зрения различных авторов о возможности использования технических средств различными участниками процесса. </w:t>
      </w:r>
    </w:p>
    <w:p w:rsidR="00153578" w:rsidRDefault="00153578">
      <w:r>
        <w:t>В ч.3 ст. 192 УПК Республики Беларусь указано, что при проведении следственных действий могут применяться технические средства и использоваться научно обоснованные способы обнаружения, фиксации и изъятия следов преступления и вещественных доказательств. Применение таких средств и способов другими участниками следственного действия допускается с разрешения следователя, дознавателя. Таким образом, применение техники при расследовании преступлений не только рекомендовано специалистами, но и разрешено законодательством. Денежный знак - специфический объект исследования, которое предполагает применение технических средств. Следователь, использующий такие средства при осмотре денежного знака, обязан: правильно определить, какие из них могут быть применены в каждом конкретном случае осмотра; сообщить присутствующим, какова цель использования этих средств и какие задачи должны быть решены с их помощью; убедиться в исправности и пригодности приборов и оборудования к решению поставленных задач; создать условия, необходимые для применения соответствующей техники (выбрать помещение, осуществить размещение и включение приборов, обеспечить присутствие специалиста в случае невозможности самостоятельно применять технические средства при осмотре и т.д.); обеспечить сохранность денежного знака в процессе осуществляемого следственного действия. (Следователь не вправе применять такие способы и технические средства исследования, которые могут привести к порче или уничтожению объекта, т. е. обрабатывать купюру водой, ацетоном, газообразными веществами, растворителями и другими материалами); применять научно-технические средства при осмотре денежного знака только в том случае, если выявленный с их помощью факт является очевидным, наглядным как для понятых, так и для всех других участников процесса, не имеющих специального юридического образования</w:t>
      </w:r>
      <w:r>
        <w:rPr>
          <w:rStyle w:val="a8"/>
        </w:rPr>
        <w:footnoteReference w:id="7"/>
      </w:r>
      <w:r>
        <w:t xml:space="preserve">. </w:t>
      </w:r>
    </w:p>
    <w:p w:rsidR="00153578" w:rsidRDefault="00153578">
      <w:r>
        <w:t xml:space="preserve">Средства и методы криминалистической техники должны обладать: а) высокой эффективностью, обеспечивающей достижение положительных результатов, имеющих большое доказательственное значение; б) простотой и надежностью, позволяющей говорить о достоверности результата исследования; в) безопасностью, гарантирующей сохранность осматриваемой банкноты и не создающей угрозу для здоровья исследователя; г) научностью, обусловливающей состоятельность этих средств и методов при проверке и подтверждении теоретическими и практическими данными; д) экономичностью, позволяющей рационально распределять время, силы и средства. </w:t>
      </w:r>
    </w:p>
    <w:p w:rsidR="00153578" w:rsidRDefault="00153578">
      <w:r>
        <w:t xml:space="preserve">В настоящее время, как за рубежом, так и в Беларуси выпускается большое количество приборов, позволяющих в автоматическом или полуавтоматическом режимах проверять подлинность денежных знаков. В разнообразных комбинациях и сочетаниях такие приборы имеют источники белого света, ультрафиолетовое и инфракрасное излучение, сенсор магнитного излучения, лупы и микроскопы различной кратности увеличения, телевизионную и компьютерную аппаратуру. </w:t>
      </w:r>
    </w:p>
    <w:p w:rsidR="00153578" w:rsidRDefault="00153578">
      <w:r>
        <w:t xml:space="preserve">Теория доказательств в уголовном процессе относит сравнение наряду с наблюдением, описанием, измерением моделированием и экспериментом к частным методам познания, применяемым в доказывании по уголовным делам. Частный метод познания представляет собой систему определенных приемов, правил, рекомендаций по изучению конкретных объектов. Отнесение того или иного метода к категории частных методов познания вовсе не означает ограничения сферы его применения. Следует согласиться с Е.П.Никитиным и А.И.Ракитовым, которые отмечают, что метод называется частным потому, что он представляет собой сочетание не всех, а лишь некоторых познавательных приемов, определенной их комбинации, которая и отличает этот метод от других. Применение же частных методов носит общий характер. В теории доказательств отмечается, что применение сравнительного метода в доказывании связано с рядом условий, которые придают сравнению некоторые специфические черты. Первое условие заключается в том, что объекты сравнения должны быть связаны с предметом доказывания. </w:t>
      </w:r>
    </w:p>
    <w:p w:rsidR="00153578" w:rsidRDefault="00153578">
      <w:pPr>
        <w:pStyle w:val="1"/>
      </w:pPr>
      <w:r>
        <w:br w:type="page"/>
        <w:t>Список использованных источников</w:t>
      </w:r>
    </w:p>
    <w:p w:rsidR="00153578" w:rsidRDefault="00153578">
      <w:pPr>
        <w:rPr>
          <w:lang w:val="en-US"/>
        </w:rPr>
      </w:pPr>
    </w:p>
    <w:p w:rsidR="00153578" w:rsidRDefault="00153578">
      <w:pPr>
        <w:pStyle w:val="a0"/>
      </w:pPr>
      <w:r>
        <w:t>Конституция Республики Беларусь. Принята на республиканском референдуме 24 ноября 1996г. Минск “ Беларусь</w:t>
      </w:r>
      <w:r>
        <w:rPr>
          <w:noProof w:val="0"/>
        </w:rPr>
        <w:t xml:space="preserve"> “ 1997</w:t>
      </w:r>
      <w:r>
        <w:t xml:space="preserve">. </w:t>
      </w:r>
    </w:p>
    <w:p w:rsidR="00153578" w:rsidRDefault="00153578">
      <w:pPr>
        <w:pStyle w:val="a0"/>
      </w:pPr>
      <w:r>
        <w:t xml:space="preserve">Гражданский кодекс Республики Беларусь: с коммент. к разделам / коммент. В.Ф. Чигира. - 3-е изд. - Мн.: Амалфея, 2000. - 704с. </w:t>
      </w:r>
    </w:p>
    <w:p w:rsidR="00153578" w:rsidRDefault="00153578">
      <w:pPr>
        <w:pStyle w:val="a0"/>
      </w:pPr>
      <w:r>
        <w:t xml:space="preserve">Уголовный кодекс Республики Беларусь. Принят Палатой представителей 2 июня 1999 года. Одобрен Советом Республики 24 июня 1999 года / Обзорная статья А.В. Баркова. - Мн.: Амалфея, 1999. - 320с. </w:t>
      </w:r>
    </w:p>
    <w:p w:rsidR="00153578" w:rsidRDefault="00153578">
      <w:pPr>
        <w:pStyle w:val="a0"/>
      </w:pPr>
      <w:r>
        <w:t xml:space="preserve">Бабий Н.А. Уголовное право Республики Беларусь. Общая часть: Конспект лекций. – Мн.: “Тесей”, 2000. – 325с. </w:t>
      </w:r>
    </w:p>
    <w:p w:rsidR="00153578" w:rsidRDefault="00153578">
      <w:pPr>
        <w:pStyle w:val="a0"/>
      </w:pPr>
      <w:r>
        <w:t xml:space="preserve">Бабий Н.А. Уголовное право Республики Беларусь. Особенная часть: Конспект лекций. – Мн.: “Тесей”, 2000. – 452с. </w:t>
      </w:r>
    </w:p>
    <w:p w:rsidR="00153578" w:rsidRDefault="00153578">
      <w:pPr>
        <w:pStyle w:val="a0"/>
      </w:pPr>
      <w:r>
        <w:t xml:space="preserve">Борико С.В. Судоустройство: Учебник. - Мн.: Амалфея, 2000 - 208с. </w:t>
      </w:r>
    </w:p>
    <w:p w:rsidR="00153578" w:rsidRDefault="00153578">
      <w:pPr>
        <w:pStyle w:val="a0"/>
      </w:pPr>
      <w:r>
        <w:t xml:space="preserve">Игнатов А.Н., Красиков Ю.А. Курс российского уголовного права: в 2т. Т.1 Общая часть, М., 2001. </w:t>
      </w:r>
    </w:p>
    <w:p w:rsidR="00153578" w:rsidRDefault="00153578">
      <w:pPr>
        <w:pStyle w:val="a0"/>
      </w:pPr>
      <w:r>
        <w:t xml:space="preserve">Уголовное право Республики Беларусь. Особенная часть: Учебное пособие / Н.Ф. Ахраменка, Н.А. Бабий, В.В. Борода и другие.; Под ред. Н.А. Бабия, И.О. Грунтова - Мн.: Новое знание, 2002. - 912с. </w:t>
      </w:r>
    </w:p>
    <w:p w:rsidR="00153578" w:rsidRDefault="00153578">
      <w:pPr>
        <w:pStyle w:val="a0"/>
      </w:pPr>
      <w:r>
        <w:t>Уголовное право Республики Беларусь. Особенная часть. Мн.:</w:t>
      </w:r>
      <w:r>
        <w:rPr>
          <w:noProof w:val="0"/>
        </w:rPr>
        <w:t xml:space="preserve"> 2001</w:t>
      </w:r>
      <w:r>
        <w:t xml:space="preserve">. </w:t>
      </w:r>
    </w:p>
    <w:p w:rsidR="00153578" w:rsidRDefault="00153578">
      <w:pPr>
        <w:pStyle w:val="a0"/>
      </w:pPr>
      <w:r>
        <w:t xml:space="preserve">Уголовное право. Особенная часть. Учебник для вузов. Ответственные редакторы: И.Я. Казаченко, Г.П. Новоселов. – М.: Издательская группа НОРМА – ИНФРА. М, 2000. – 768с. </w:t>
      </w:r>
    </w:p>
    <w:p w:rsidR="00153578" w:rsidRDefault="00153578">
      <w:pPr>
        <w:pStyle w:val="a0"/>
        <w:rPr>
          <w:noProof w:val="0"/>
        </w:rPr>
      </w:pPr>
      <w:r>
        <w:t xml:space="preserve">Уголовное право РФ. Особенная часть. Ответственный редактор Здравомыслов Б.В. - Москва: Юристъ, 2000. </w:t>
      </w:r>
      <w:bookmarkStart w:id="0" w:name="_GoBack"/>
      <w:bookmarkEnd w:id="0"/>
    </w:p>
    <w:sectPr w:rsidR="00153578">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91" w:rsidRDefault="00606291">
      <w:r>
        <w:separator/>
      </w:r>
    </w:p>
  </w:endnote>
  <w:endnote w:type="continuationSeparator" w:id="0">
    <w:p w:rsidR="00606291" w:rsidRDefault="0060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578" w:rsidRDefault="0015357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578" w:rsidRDefault="0015357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91" w:rsidRDefault="00606291">
      <w:r>
        <w:separator/>
      </w:r>
    </w:p>
  </w:footnote>
  <w:footnote w:type="continuationSeparator" w:id="0">
    <w:p w:rsidR="00606291" w:rsidRDefault="00606291">
      <w:r>
        <w:continuationSeparator/>
      </w:r>
    </w:p>
  </w:footnote>
  <w:footnote w:id="1">
    <w:p w:rsidR="00606291" w:rsidRDefault="00153578">
      <w:r>
        <w:rPr>
          <w:rStyle w:val="a8"/>
        </w:rPr>
        <w:footnoteRef/>
      </w:r>
      <w:r>
        <w:t xml:space="preserve"> Климова Е.И. Фальшивомонетничество; моделирование при расследовании; Монограмма /Е.И. Климова. – Мн.; Академия МВД Республики Беларусь, 2005.</w:t>
      </w:r>
    </w:p>
  </w:footnote>
  <w:footnote w:id="2">
    <w:p w:rsidR="00153578" w:rsidRDefault="00153578">
      <w:pPr>
        <w:rPr>
          <w:kern w:val="28"/>
        </w:rPr>
      </w:pPr>
      <w:r>
        <w:rPr>
          <w:rStyle w:val="a8"/>
          <w:sz w:val="20"/>
          <w:szCs w:val="20"/>
        </w:rPr>
        <w:footnoteRef/>
      </w:r>
      <w:r>
        <w:t xml:space="preserve"> Уголовный процесс. Учебник. Под ред. Григорьева В. Н., Химичёвой Г. П. Юнита – Дана, М., 2001.</w:t>
      </w:r>
    </w:p>
    <w:p w:rsidR="00606291" w:rsidRDefault="00606291"/>
  </w:footnote>
  <w:footnote w:id="3">
    <w:p w:rsidR="00606291" w:rsidRDefault="00153578" w:rsidP="00153578">
      <w:r>
        <w:rPr>
          <w:rStyle w:val="a8"/>
          <w:sz w:val="20"/>
          <w:szCs w:val="20"/>
        </w:rPr>
        <w:footnoteRef/>
      </w:r>
      <w:r>
        <w:t xml:space="preserve"> </w:t>
      </w:r>
      <w:r>
        <w:rPr>
          <w:kern w:val="28"/>
        </w:rPr>
        <w:t xml:space="preserve">Зорин Г.А. Криминалистическая методология (Фундаментальная крииналистика </w:t>
      </w:r>
      <w:r>
        <w:rPr>
          <w:kern w:val="28"/>
          <w:lang w:val="en-US"/>
        </w:rPr>
        <w:t>XXI</w:t>
      </w:r>
      <w:r>
        <w:rPr>
          <w:kern w:val="28"/>
        </w:rPr>
        <w:t xml:space="preserve"> века). Мн., 2000.</w:t>
      </w:r>
    </w:p>
  </w:footnote>
  <w:footnote w:id="4">
    <w:p w:rsidR="00153578" w:rsidRDefault="00153578">
      <w:r>
        <w:rPr>
          <w:rStyle w:val="a8"/>
          <w:sz w:val="20"/>
          <w:szCs w:val="20"/>
        </w:rPr>
        <w:footnoteRef/>
      </w:r>
      <w:r>
        <w:t xml:space="preserve"> Уголовный процесс. Учебник. Под общей ред. А. С. Кобликова. Норма - Инфра, М., 1999.</w:t>
      </w:r>
    </w:p>
    <w:p w:rsidR="00606291" w:rsidRDefault="00606291"/>
  </w:footnote>
  <w:footnote w:id="5">
    <w:p w:rsidR="00606291" w:rsidRDefault="00153578" w:rsidP="00153578">
      <w:r>
        <w:rPr>
          <w:rStyle w:val="a8"/>
          <w:sz w:val="20"/>
          <w:szCs w:val="20"/>
        </w:rPr>
        <w:footnoteRef/>
      </w:r>
      <w:r>
        <w:t xml:space="preserve"> Криминалистика: Учеб. пособие для слушателей специальность “Правоведение” ВУЗов МВД / И.С. Андреев, Г. И. Грамович, Н. И. Порубов; од ред. Н. И. Порубова. – Мн.: Вышэйшая школа, 1997. </w:t>
      </w:r>
    </w:p>
  </w:footnote>
  <w:footnote w:id="6">
    <w:p w:rsidR="00606291" w:rsidRDefault="00153578">
      <w:r>
        <w:rPr>
          <w:rStyle w:val="a8"/>
        </w:rPr>
        <w:footnoteRef/>
      </w:r>
      <w:r>
        <w:t xml:space="preserve"> Криминалистика: Учеб. пособие / А.В. Дулов, Г.И. Грамович, А.В. Лапи </w:t>
      </w:r>
      <w:r>
        <w:rPr>
          <w:spacing w:val="-1"/>
        </w:rPr>
        <w:t xml:space="preserve">и др.; Под ред. А.В. Дулова. Мн., 1998. </w:t>
      </w:r>
    </w:p>
  </w:footnote>
  <w:footnote w:id="7">
    <w:p w:rsidR="00606291" w:rsidRDefault="00153578" w:rsidP="00153578">
      <w:r>
        <w:rPr>
          <w:rStyle w:val="a8"/>
          <w:sz w:val="20"/>
          <w:szCs w:val="20"/>
        </w:rPr>
        <w:footnoteRef/>
      </w:r>
      <w:r>
        <w:t xml:space="preserve"> Рыжаков А. П. Уголовный процесс: Учебник для вузов. - М.: “Издательство ПРИОР “,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578" w:rsidRDefault="0017214B">
    <w:pPr>
      <w:pStyle w:val="a9"/>
      <w:framePr w:wrap="auto" w:vAnchor="text" w:hAnchor="margin" w:xAlign="right" w:y="1"/>
      <w:jc w:val="both"/>
      <w:rPr>
        <w:rStyle w:val="ac"/>
        <w:noProof w:val="0"/>
        <w:kern w:val="0"/>
        <w:lang w:val="ru-RU"/>
      </w:rPr>
    </w:pPr>
    <w:r>
      <w:rPr>
        <w:rStyle w:val="ac"/>
        <w:kern w:val="0"/>
        <w:lang w:val="ru-RU"/>
      </w:rPr>
      <w:t>2</w:t>
    </w:r>
  </w:p>
  <w:p w:rsidR="00153578" w:rsidRDefault="00153578">
    <w:pPr>
      <w:pStyle w:val="a9"/>
      <w:ind w:right="360"/>
      <w:jc w:val="both"/>
      <w:rPr>
        <w:noProof w:val="0"/>
        <w:kern w:val="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578" w:rsidRDefault="001535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6604A0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
    <w:nsid w:val="74192C2B"/>
    <w:multiLevelType w:val="singleLevel"/>
    <w:tmpl w:val="661497EA"/>
    <w:lvl w:ilvl="0">
      <w:start w:val="1"/>
      <w:numFmt w:val="decimal"/>
      <w:lvlText w:val="%1)"/>
      <w:legacy w:legacy="1" w:legacySpace="0" w:legacyIndent="226"/>
      <w:lvlJc w:val="left"/>
      <w:rPr>
        <w:rFonts w:ascii="Times New Roman" w:hAnsi="Times New Roman" w:cs="Times New Roman" w:hint="default"/>
      </w:rPr>
    </w:lvl>
  </w:abstractNum>
  <w:abstractNum w:abstractNumId="3">
    <w:nsid w:val="7DD34BEA"/>
    <w:multiLevelType w:val="singleLevel"/>
    <w:tmpl w:val="9254460C"/>
    <w:lvl w:ilvl="0">
      <w:start w:val="1"/>
      <w:numFmt w:val="decimal"/>
      <w:pStyle w:val="a0"/>
      <w:lvlText w:val="%1."/>
      <w:lvlJc w:val="left"/>
      <w:pPr>
        <w:tabs>
          <w:tab w:val="num" w:pos="1080"/>
        </w:tabs>
        <w:ind w:firstLine="720"/>
      </w:pPr>
    </w:lvl>
  </w:abstractNum>
  <w:num w:numId="1">
    <w:abstractNumId w:val="2"/>
    <w:lvlOverride w:ilvl="0">
      <w:startOverride w:val="1"/>
    </w:lvlOverride>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78"/>
    <w:rsid w:val="00153578"/>
    <w:rsid w:val="0017214B"/>
    <w:rsid w:val="00393F8D"/>
    <w:rsid w:val="00606291"/>
    <w:rsid w:val="00CB3AA7"/>
    <w:rsid w:val="00F82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F3197DA-735B-47AE-A97A-011D0EAF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footnote text"/>
    <w:basedOn w:val="a1"/>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header"/>
    <w:basedOn w:val="a1"/>
    <w:next w:val="aa"/>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9"/>
    <w:uiPriority w:val="99"/>
    <w:rPr>
      <w:kern w:val="16"/>
      <w:sz w:val="24"/>
      <w:szCs w:val="24"/>
    </w:rPr>
  </w:style>
  <w:style w:type="character" w:styleId="ac">
    <w:name w:val="page number"/>
    <w:uiPriority w:val="99"/>
  </w:style>
  <w:style w:type="paragraph" w:styleId="aa">
    <w:name w:val="Body Text"/>
    <w:basedOn w:val="a1"/>
    <w:link w:val="ad"/>
    <w:uiPriority w:val="99"/>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3"/>
      </w:numPr>
      <w:autoSpaceDE w:val="0"/>
      <w:autoSpaceDN w:val="0"/>
      <w:spacing w:line="360" w:lineRule="auto"/>
    </w:pPr>
    <w:rPr>
      <w:noProof/>
      <w:sz w:val="28"/>
      <w:szCs w:val="28"/>
      <w:lang w:val="en-US"/>
    </w:rPr>
  </w:style>
  <w:style w:type="paragraph" w:customStyle="1" w:styleId="a0">
    <w:name w:val="список нумерованный"/>
    <w:uiPriority w:val="99"/>
    <w:pPr>
      <w:numPr>
        <w:numId w:val="4"/>
      </w:numPr>
      <w:tabs>
        <w:tab w:val="num" w:pos="1276"/>
      </w:tabs>
      <w:autoSpaceDE w:val="0"/>
      <w:autoSpaceDN w:val="0"/>
      <w:spacing w:line="360" w:lineRule="auto"/>
      <w:jc w:val="both"/>
    </w:pPr>
    <w:rPr>
      <w:noProof/>
      <w:sz w:val="28"/>
      <w:szCs w:val="28"/>
      <w:lang w:val="en-US"/>
    </w:rPr>
  </w:style>
  <w:style w:type="paragraph" w:customStyle="1" w:styleId="af0">
    <w:name w:val="схема"/>
    <w:uiPriority w:val="99"/>
    <w:pPr>
      <w:autoSpaceDE w:val="0"/>
      <w:autoSpaceDN w:val="0"/>
      <w:jc w:val="center"/>
    </w:pPr>
    <w:rPr>
      <w:noProof/>
      <w:sz w:val="24"/>
      <w:szCs w:val="24"/>
      <w:lang w:val="en-US"/>
    </w:rPr>
  </w:style>
  <w:style w:type="paragraph" w:customStyle="1" w:styleId="af1">
    <w:name w:val="ТАБЛИЦА"/>
    <w:uiPriority w:val="99"/>
    <w:pPr>
      <w:autoSpaceDE w:val="0"/>
      <w:autoSpaceDN w:val="0"/>
      <w:jc w:val="center"/>
    </w:pPr>
    <w:rPr>
      <w:noProof/>
      <w:lang w:val="en-US"/>
    </w:rPr>
  </w:style>
  <w:style w:type="paragraph" w:customStyle="1" w:styleId="af2">
    <w:name w:val="титут"/>
    <w:uiPriority w:val="99"/>
    <w:pPr>
      <w:autoSpaceDE w:val="0"/>
      <w:autoSpaceDN w:val="0"/>
      <w:spacing w:line="360" w:lineRule="auto"/>
      <w:jc w:val="center"/>
    </w:pPr>
    <w:rPr>
      <w:noProof/>
      <w:sz w:val="28"/>
      <w:szCs w:val="28"/>
      <w:lang w:val="en-US"/>
    </w:rPr>
  </w:style>
  <w:style w:type="paragraph" w:styleId="af3">
    <w:name w:val="footer"/>
    <w:basedOn w:val="a1"/>
    <w:link w:val="af4"/>
    <w:uiPriority w:val="99"/>
    <w:pPr>
      <w:tabs>
        <w:tab w:val="center" w:pos="4153"/>
        <w:tab w:val="right" w:pos="8306"/>
      </w:tabs>
    </w:pPr>
  </w:style>
  <w:style w:type="character" w:customStyle="1" w:styleId="af4">
    <w:name w:val="Нижний колонтитул Знак"/>
    <w:link w:val="af3"/>
    <w:uiPriority w:val="99"/>
    <w:semiHidden/>
    <w:rPr>
      <w:sz w:val="28"/>
      <w:szCs w:val="28"/>
    </w:rPr>
  </w:style>
  <w:style w:type="character" w:customStyle="1" w:styleId="af5">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26019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МОДЕЛИРОВАНИЕ СИСТЕМ ЗНАНИЙ, НЕОБХОДИМЫХ ДЛЯ РАС-СЛЕДОВАНИЯ ФАЛЬШИВОМОНЕТНИЧЕСТВА</vt:lpstr>
    </vt:vector>
  </TitlesOfParts>
  <Company>телевидение</Company>
  <LinksUpToDate>false</LinksUpToDate>
  <CharactersWithSpaces>30522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СИСТЕМ ЗНАНИЙ, НЕОБХОДИМЫХ ДЛЯ РАС-СЛЕДОВАНИЯ ФАЛЬШИВОМОНЕТНИЧЕСТВА</dc:title>
  <dc:subject/>
  <dc:creator>Олег</dc:creator>
  <cp:keywords/>
  <dc:description/>
  <cp:lastModifiedBy>admin</cp:lastModifiedBy>
  <cp:revision>2</cp:revision>
  <dcterms:created xsi:type="dcterms:W3CDTF">2014-03-20T00:12:00Z</dcterms:created>
  <dcterms:modified xsi:type="dcterms:W3CDTF">2014-03-20T00:12:00Z</dcterms:modified>
</cp:coreProperties>
</file>