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24"/>
          <w:szCs w:val="24"/>
          <w:lang w:val="en-US"/>
        </w:rPr>
      </w:pPr>
    </w:p>
    <w:p w:rsidR="00325817" w:rsidRDefault="00325817">
      <w:pPr>
        <w:spacing w:line="360" w:lineRule="auto"/>
        <w:jc w:val="center"/>
        <w:rPr>
          <w:sz w:val="36"/>
          <w:szCs w:val="36"/>
        </w:rPr>
      </w:pPr>
      <w:r>
        <w:rPr>
          <w:sz w:val="36"/>
          <w:szCs w:val="36"/>
        </w:rPr>
        <w:t>Москва Патриаршая</w:t>
      </w:r>
    </w:p>
    <w:p w:rsidR="00325817" w:rsidRDefault="00325817">
      <w:pPr>
        <w:spacing w:line="360" w:lineRule="auto"/>
        <w:jc w:val="center"/>
        <w:rPr>
          <w:sz w:val="36"/>
          <w:szCs w:val="36"/>
        </w:rPr>
      </w:pPr>
      <w:r>
        <w:rPr>
          <w:b w:val="0"/>
          <w:bCs w:val="0"/>
          <w:sz w:val="36"/>
          <w:szCs w:val="36"/>
        </w:rPr>
        <w:t>Советское время</w:t>
      </w:r>
    </w:p>
    <w:p w:rsidR="00325817" w:rsidRDefault="00325817">
      <w:pPr>
        <w:spacing w:line="360" w:lineRule="auto"/>
        <w:jc w:val="center"/>
        <w:rPr>
          <w:sz w:val="24"/>
          <w:szCs w:val="24"/>
        </w:rPr>
      </w:pPr>
    </w:p>
    <w:p w:rsidR="00325817" w:rsidRDefault="00325817">
      <w:pPr>
        <w:pStyle w:val="1"/>
        <w:rPr>
          <w:sz w:val="24"/>
          <w:szCs w:val="24"/>
          <w:lang w:val="en-US"/>
        </w:rPr>
      </w:pPr>
    </w:p>
    <w:p w:rsidR="00325817" w:rsidRDefault="00325817">
      <w:pPr>
        <w:pStyle w:val="1"/>
        <w:rPr>
          <w:sz w:val="24"/>
          <w:szCs w:val="24"/>
          <w:lang w:val="en-US"/>
        </w:rPr>
      </w:pPr>
    </w:p>
    <w:p w:rsidR="00325817" w:rsidRDefault="00325817">
      <w:pPr>
        <w:pStyle w:val="1"/>
        <w:rPr>
          <w:sz w:val="24"/>
          <w:szCs w:val="24"/>
          <w:lang w:val="en-US"/>
        </w:rPr>
      </w:pPr>
    </w:p>
    <w:p w:rsidR="00325817" w:rsidRDefault="00325817">
      <w:pPr>
        <w:pStyle w:val="1"/>
        <w:rPr>
          <w:sz w:val="32"/>
          <w:szCs w:val="32"/>
          <w:lang w:val="en-US"/>
        </w:rPr>
      </w:pPr>
      <w:r>
        <w:rPr>
          <w:sz w:val="32"/>
          <w:szCs w:val="32"/>
        </w:rPr>
        <w:t>Реферат по москвоведению Пичугиной Марии</w:t>
      </w:r>
    </w:p>
    <w:p w:rsidR="00325817" w:rsidRDefault="00325817">
      <w:pPr>
        <w:jc w:val="center"/>
        <w:rPr>
          <w:b w:val="0"/>
          <w:bCs w:val="0"/>
          <w:i w:val="0"/>
          <w:iCs w:val="0"/>
        </w:rPr>
      </w:pPr>
      <w:r>
        <w:rPr>
          <w:b w:val="0"/>
          <w:bCs w:val="0"/>
          <w:i w:val="0"/>
          <w:iCs w:val="0"/>
        </w:rPr>
        <w:t>Школа № 1276</w:t>
      </w:r>
    </w:p>
    <w:p w:rsidR="00325817" w:rsidRDefault="00325817">
      <w:pPr>
        <w:jc w:val="center"/>
        <w:rPr>
          <w:b w:val="0"/>
          <w:bCs w:val="0"/>
          <w:i w:val="0"/>
          <w:iCs w:val="0"/>
        </w:rPr>
      </w:pPr>
      <w:r>
        <w:rPr>
          <w:b w:val="0"/>
          <w:bCs w:val="0"/>
          <w:i w:val="0"/>
          <w:iCs w:val="0"/>
        </w:rPr>
        <w:t>Москва, 1997</w:t>
      </w:r>
    </w:p>
    <w:p w:rsidR="00325817" w:rsidRDefault="00325817">
      <w:pPr>
        <w:pStyle w:val="ac"/>
      </w:pPr>
      <w:r>
        <w:br w:type="page"/>
        <w:t>«Никакие церкви и религиозные общества не имеют права владеть собственностью. Прав юридического лица они не имеют. Все имущества существующих в России церквей и религиозных обществ объявляются народным достоянием...»</w:t>
      </w:r>
    </w:p>
    <w:p w:rsidR="00325817" w:rsidRDefault="00325817">
      <w:pPr>
        <w:spacing w:line="360" w:lineRule="auto"/>
        <w:ind w:firstLine="567"/>
        <w:jc w:val="both"/>
        <w:rPr>
          <w:b w:val="0"/>
          <w:bCs w:val="0"/>
          <w:i w:val="0"/>
          <w:iCs w:val="0"/>
          <w:sz w:val="24"/>
          <w:szCs w:val="24"/>
        </w:rPr>
      </w:pPr>
      <w:r>
        <w:rPr>
          <w:b w:val="0"/>
          <w:bCs w:val="0"/>
          <w:i w:val="0"/>
          <w:iCs w:val="0"/>
          <w:sz w:val="24"/>
          <w:szCs w:val="24"/>
        </w:rPr>
        <w:t>Эти строки приведены из декрета «Об отделении Церкви от государства и школы от Церкви», опубликованного 23 января (5 февраля) 1918 года. Планомерное уничтожение и разграбление церковного имущества началось с первых же месяцев Октября 17 года. До революции эти действия рассматривались как кощунство и тяжкое преступление, Советская власть сделала их  узаконенными и даже почетными. Религия оказалась несовместимой с коммунизмом, Церковь была заклеймена и являлась пережитком прошлого. И это в 18 году, когда по статистическим данным 2/3 крестьянского и 1/3 городского населения были верующими и регулярно посещали богослужения. Но это, очевидно, не смущало. В.И. Ленин в инструкции членам Политбюро писал: «Нам во что бы то ни стало необходимо провести изъятие церковных ценностей самым решительным и самым быстрым образом, чем мы можем обеспечить себе фонд в несколько сотен миллионов золотых рублей. Без этого фонда никакая государственная работа вообще, никакое хозяйственное строительство в частности совершенно немыслимы... Мы должны дать именно теперь самое решительное и беспощадное сражение черносотенному духовенству и подавить его сопротивление с такой жестокостью, чтобы они не забывали этого в течение нескольких десятилетий»</w:t>
      </w:r>
      <w:r>
        <w:rPr>
          <w:rStyle w:val="ab"/>
          <w:b w:val="0"/>
          <w:bCs w:val="0"/>
          <w:i w:val="0"/>
          <w:iCs w:val="0"/>
          <w:sz w:val="24"/>
          <w:szCs w:val="24"/>
        </w:rPr>
        <w:footnoteReference w:id="1"/>
      </w:r>
      <w:r>
        <w:rPr>
          <w:b w:val="0"/>
          <w:bCs w:val="0"/>
          <w:i w:val="0"/>
          <w:iCs w:val="0"/>
          <w:sz w:val="24"/>
          <w:szCs w:val="24"/>
        </w:rPr>
        <w:t xml:space="preserve"> </w:t>
      </w:r>
    </w:p>
    <w:p w:rsidR="00325817" w:rsidRDefault="00325817">
      <w:pPr>
        <w:spacing w:line="360" w:lineRule="auto"/>
        <w:ind w:firstLine="567"/>
        <w:jc w:val="both"/>
        <w:rPr>
          <w:b w:val="0"/>
          <w:bCs w:val="0"/>
          <w:i w:val="0"/>
          <w:iCs w:val="0"/>
          <w:sz w:val="24"/>
          <w:szCs w:val="24"/>
        </w:rPr>
      </w:pPr>
      <w:r>
        <w:rPr>
          <w:b w:val="0"/>
          <w:bCs w:val="0"/>
          <w:i w:val="0"/>
          <w:iCs w:val="0"/>
          <w:sz w:val="24"/>
          <w:szCs w:val="24"/>
        </w:rPr>
        <w:t>За словами незамедлительно последовали действия: в январе 1918 года вышел декрет ВСНХ о золоте и платине. Изделия из золота весом более 16 золотников переходили в собственность государства. Музеи, церкви, монастыри были обязаны предоставить в месячный срок опись всех находящихся в их ведении золотых изделий. В декабре 1918 года по распоряжению Моссовета во всех храмах Москвы комиссиями было произведено взвешивание и описание серебряных риз, богослужебных сосудов, окладов, крестов. Но это была только прелюдия к грабежу московских храмов в 1922 году. Из Спасо-Андрониковой обители вывезли 5 фунтов золота, 28 пудов серебряных предметов, 625 бриллиантовых, 125 алмазных камней, более 2 пудов жемчуга. 24 марта 1922 года полностью разорен Чудов монастырь. Из собора Василия Блаженного вынесли 24 пуда серебра, из храма Христа Спасителя более 34 пудов. В общей сложности из церквей Кремля было вывезено более 57 пудов церковных ценностей: кадил, лампад, серебряных риз, окладов Евангелий. Новодевичий монастырь потерял 20 пудов серебра, 47 бриллиантов, 97 алмазов, 61 сапфир.</w:t>
      </w:r>
    </w:p>
    <w:p w:rsidR="00325817" w:rsidRDefault="00325817">
      <w:pPr>
        <w:spacing w:line="360" w:lineRule="auto"/>
        <w:ind w:firstLine="567"/>
        <w:jc w:val="both"/>
        <w:rPr>
          <w:b w:val="0"/>
          <w:bCs w:val="0"/>
          <w:i w:val="0"/>
          <w:iCs w:val="0"/>
          <w:sz w:val="24"/>
          <w:szCs w:val="24"/>
        </w:rPr>
      </w:pPr>
      <w:r>
        <w:rPr>
          <w:b w:val="0"/>
          <w:bCs w:val="0"/>
          <w:i w:val="0"/>
          <w:iCs w:val="0"/>
          <w:sz w:val="24"/>
          <w:szCs w:val="24"/>
        </w:rPr>
        <w:t>А в декабре того же 1922 года Москва стала столицей только что образованного СССР. Москва - столица «первого в мире пролетарского государства», «первый на планете социалистический город». Началась эпопея по переделке Первопрестольной в соответствии с её новым статусом. В 1922 году была снесена часовня - памятник во имя  св. Александра Невского, которая располагалась напротив гостиницы «Националь», была воздвигнута в 1883 году в честь победы в русско-турецкой войне. В 1925 году разобрали церковь Архидиакона Евпла на углу Мясницкой и Милютинского  переулка.  Летом 1927 года были разобраны Красные ворота, часовня преподобного Сергия Радонежского у Ильинских ворот, церковь Рождества Богородицы на углу Столешникова переулка и Петровки. В 1928 году была разрушена и вывезена в неизвестном направлении церковь Праскевы Пятницы на Охотном ряду. Церковь называлась «у старых поль»; сохранились сведения, что именно здесь проводились судебные поединки по назначению старомосковского правосудия. Её судьбу разделила колокольня Казанского собора, церковь Трех Святителей на площади Красных ворот, колокольня церкви Благовещения на Тверской, Иоанна Предтечи на Пятницкой. При составлении Генерального плана новой социалистической Москвы действовал принцип: на месте церкви должна стоять школа. Снос шел куда быстрей, чем строительство.</w:t>
      </w:r>
    </w:p>
    <w:p w:rsidR="00325817" w:rsidRDefault="00325817">
      <w:pPr>
        <w:spacing w:line="360" w:lineRule="auto"/>
        <w:ind w:firstLine="567"/>
        <w:jc w:val="both"/>
        <w:rPr>
          <w:b w:val="0"/>
          <w:bCs w:val="0"/>
          <w:i w:val="0"/>
          <w:iCs w:val="0"/>
          <w:sz w:val="24"/>
          <w:szCs w:val="24"/>
        </w:rPr>
      </w:pPr>
      <w:r>
        <w:rPr>
          <w:b w:val="0"/>
          <w:bCs w:val="0"/>
          <w:i w:val="0"/>
          <w:iCs w:val="0"/>
          <w:sz w:val="24"/>
          <w:szCs w:val="24"/>
        </w:rPr>
        <w:t xml:space="preserve">В 1929 году положение Церкви обострилось. В начале года  за подписью Кагановича на места была отправлена директива, в которой подчеркивалось, что религиозные организации являются единственной легально действующей контрреволюционной силой, имеющей влияние на массы. Этим фактически была дана команда к широкому применению административных и репрессивных мер в борьбе с религией. Начался массовый арест священников, повсеместное закрытие церквей. В Москве из 500 действующих храмов к 1 января 1930 года оставалось 224, а через 2 года только 87. В 1929 году была проведена самая кощунственная акция </w:t>
      </w:r>
      <w:r>
        <w:rPr>
          <w:b w:val="0"/>
          <w:bCs w:val="0"/>
          <w:i w:val="0"/>
          <w:iCs w:val="0"/>
          <w:sz w:val="24"/>
          <w:szCs w:val="24"/>
          <w:lang w:val="en-US"/>
        </w:rPr>
        <w:t>XX</w:t>
      </w:r>
      <w:r>
        <w:rPr>
          <w:b w:val="0"/>
          <w:bCs w:val="0"/>
          <w:i w:val="0"/>
          <w:iCs w:val="0"/>
          <w:sz w:val="24"/>
          <w:szCs w:val="24"/>
        </w:rPr>
        <w:t xml:space="preserve"> века - антирождество, а в  30-ом - антипасхальная кампания. Была опробована взрывная техника: так исчезла часовня Иверской Божией Матери, двухшатровые Воскресенские ворота Китай-города, 25 московских монастырей: Чудов и Вознесенский (в Кремле), Сретенский, Скорбященский, Богоявленский на Никольской, Страстной, Никитский, Симонов. Симонов ставропигальный мужской монастырь, основанный еще в 1370 году, считался одной из крупнейших обителей: к 1917 году на территории монастыря находилось 7 храмов с 11 престолами. Закрытый в 1923 году, в 1930-ом был взорван. На месте монастыря в 1932-37 гг. был построен Дворец культуры автомобильного завода им. Лихачева. Еще более страшной акцией Советского правительства стало разрушение храма Христа Спасителя на Волхонке. С момента его открытия 7 июля 1883 года, он являлся символом православия в Москве. На бронзовой доске, заложенной в фундамент храма при строительстве, были выгравированы слова: «Господи Спаситель наш! Прииди с высоты Святыя Твоя на место сие, избери его в жилище Себе и благослови дело рук наших». И в годы революции он продолжал оставаться главным среди Московских церквей. В августе 1917 года здесь проходили заседания Поместного собора, а в ноябре выборы патриарха Всея Руси. Дело сноса храма началось в злополучном 1922 году с объявления конкурса на лучший проект Дворца Советов, в 1931 году был создан Совет строительства Дворца при Президиуме ЦИК СССР и специальный Временный технический совет, на заседании которого в мае и было вынесено предложение возвести здание на месте храма на Волхонке. 16 июля 1931 года на заседании по делам культуры при Президиуме ВЦИК под руководством П. Смидовича было принято решение об уничтожении храма. «Ввиду отвода участка, на котором расположен храм Христа Спасителя, под постройку Дворца Советов, указанный храм ликвидировать и снести»</w:t>
      </w:r>
      <w:r>
        <w:rPr>
          <w:rStyle w:val="ab"/>
          <w:b w:val="0"/>
          <w:bCs w:val="0"/>
          <w:i w:val="0"/>
          <w:iCs w:val="0"/>
          <w:sz w:val="24"/>
          <w:szCs w:val="24"/>
        </w:rPr>
        <w:footnoteReference w:id="2"/>
      </w:r>
      <w:r>
        <w:rPr>
          <w:b w:val="0"/>
          <w:bCs w:val="0"/>
          <w:i w:val="0"/>
          <w:iCs w:val="0"/>
          <w:sz w:val="24"/>
          <w:szCs w:val="24"/>
        </w:rPr>
        <w:t>. 5 декабря 1931 года в полдень прогремел первый взрыв. Хватило 45 минут, чтобы превратить храм в руины. До мая 1932 года бетоноломами и с помощью взрывов крушили своды коридоров и подвалов, оставалось разобрать восьмиметровый фундамент и старинную церковь Похвалы Пресвятой Богородицы в Башмакове, стоявшую рядом с храмом. Дворец Советов построен так и не был, помешала война. Вырыли лишь котлован, где позже построили бассейн «Москва» - «огромную лужу» в центре столицы. 31-32 гг. ознаменовались сносом известных старых московских церквей: Николы Чудотворца в Воробине, Стефана за Яузой, Троицы в Зубове, Пимена в Пименовском переулке. За эти годы было разрушено 426 храмов из 846, существовавших в Москве  к 1917 году.</w:t>
      </w:r>
    </w:p>
    <w:p w:rsidR="00325817" w:rsidRDefault="00325817">
      <w:pPr>
        <w:spacing w:line="360" w:lineRule="auto"/>
        <w:ind w:firstLine="567"/>
        <w:jc w:val="both"/>
        <w:rPr>
          <w:b w:val="0"/>
          <w:bCs w:val="0"/>
          <w:i w:val="0"/>
          <w:iCs w:val="0"/>
          <w:sz w:val="24"/>
          <w:szCs w:val="24"/>
        </w:rPr>
      </w:pPr>
      <w:r>
        <w:rPr>
          <w:b w:val="0"/>
          <w:bCs w:val="0"/>
          <w:i w:val="0"/>
          <w:iCs w:val="0"/>
          <w:sz w:val="24"/>
          <w:szCs w:val="24"/>
        </w:rPr>
        <w:t xml:space="preserve">Советское правительство совершало над религией насилие за насилием. То небольшое выжившее количество церковных сооружений использовалось в качестве мастерских, складов, подсобных помещений. В церкви Большого Вознесения у Никитских ворот была проломлена стена и устроен гараж, в церкви Нерукотворного Спаса помещался гальванический цех. Трагически сложилась судьба церкви Всех Святых на Кулишках, основанной «в память всех убиенных» в битве на Куликовом поле. Существует предание, что в этом храме молился сам св. Князь Дмитрий Донской перед сражением. В 1930 году Всесвятскую закрыли, священника арестовали, на колокольне был повешен красный флаг. Церковь была обращена в филиал НКВД, в её подвалах постоянно велись расстрелы, о чем свидетельствует огромное количество найденных гильз. Только в 1975 году здание было передано в ведение Музея истории и реконструкции Москвы. После минимального ремонта в храме размещалось в течение 70-80-х гг. Гастрольбюро филиала Москонцерта. Не менее страшная судьба постигла Новоспасский мужской монастырь, расположенный на Крестьянской площади. В 1918 году - закрыт, обращен в концлагерь, затем в тюрьму, позднее в нем располагались различные учреждения и предприятия. В 1930 году обитель Свято-Данилова монастыря была закрыта, насельники расстреляны или сосланы в лагеря, на его территории размещен приемник для детей репрессированных. Разорен Даниловский некрополь. Прах Гоголя, Языкова, Рубинштейна, князей Черкасских был перенесен на Новодевичье кладбище, остальные могилы были отданы на поругание. Часть территории Свято-Данилова монастыря перешла заводу холодильных машин. </w:t>
      </w:r>
    </w:p>
    <w:p w:rsidR="00325817" w:rsidRDefault="00325817">
      <w:pPr>
        <w:spacing w:line="360" w:lineRule="auto"/>
        <w:ind w:firstLine="567"/>
        <w:jc w:val="both"/>
        <w:rPr>
          <w:sz w:val="24"/>
          <w:szCs w:val="24"/>
        </w:rPr>
      </w:pPr>
    </w:p>
    <w:p w:rsidR="00325817" w:rsidRDefault="00325817">
      <w:pPr>
        <w:spacing w:line="360" w:lineRule="auto"/>
        <w:ind w:firstLine="567"/>
        <w:jc w:val="both"/>
        <w:rPr>
          <w:sz w:val="24"/>
          <w:szCs w:val="24"/>
        </w:rPr>
      </w:pPr>
      <w:r>
        <w:rPr>
          <w:sz w:val="24"/>
          <w:szCs w:val="24"/>
        </w:rPr>
        <w:t>СПИСОК ЛИТЕРАТУРЫ:</w:t>
      </w:r>
    </w:p>
    <w:p w:rsidR="00325817" w:rsidRDefault="00325817">
      <w:pPr>
        <w:numPr>
          <w:ilvl w:val="0"/>
          <w:numId w:val="1"/>
        </w:numPr>
        <w:spacing w:line="360" w:lineRule="auto"/>
        <w:ind w:left="284" w:hanging="284"/>
        <w:rPr>
          <w:b w:val="0"/>
          <w:bCs w:val="0"/>
          <w:i w:val="0"/>
          <w:iCs w:val="0"/>
          <w:sz w:val="24"/>
          <w:szCs w:val="24"/>
        </w:rPr>
      </w:pPr>
      <w:r>
        <w:rPr>
          <w:b w:val="0"/>
          <w:bCs w:val="0"/>
          <w:i w:val="0"/>
          <w:iCs w:val="0"/>
          <w:sz w:val="24"/>
          <w:szCs w:val="24"/>
        </w:rPr>
        <w:t xml:space="preserve"> «Москва </w:t>
      </w:r>
      <w:r>
        <w:rPr>
          <w:b w:val="0"/>
          <w:bCs w:val="0"/>
          <w:i w:val="0"/>
          <w:iCs w:val="0"/>
          <w:sz w:val="24"/>
          <w:szCs w:val="24"/>
          <w:lang w:val="en-US"/>
        </w:rPr>
        <w:t xml:space="preserve">XX </w:t>
      </w:r>
      <w:r>
        <w:rPr>
          <w:b w:val="0"/>
          <w:bCs w:val="0"/>
          <w:i w:val="0"/>
          <w:iCs w:val="0"/>
          <w:sz w:val="24"/>
          <w:szCs w:val="24"/>
        </w:rPr>
        <w:t xml:space="preserve">век»  фотоальбом под редакцией Корнеева </w:t>
      </w:r>
    </w:p>
    <w:p w:rsidR="00325817" w:rsidRDefault="00325817">
      <w:pPr>
        <w:spacing w:line="360" w:lineRule="auto"/>
        <w:ind w:left="426"/>
        <w:rPr>
          <w:b w:val="0"/>
          <w:bCs w:val="0"/>
          <w:i w:val="0"/>
          <w:iCs w:val="0"/>
          <w:sz w:val="24"/>
          <w:szCs w:val="24"/>
        </w:rPr>
      </w:pPr>
      <w:r>
        <w:rPr>
          <w:b w:val="0"/>
          <w:bCs w:val="0"/>
          <w:i w:val="0"/>
          <w:iCs w:val="0"/>
          <w:sz w:val="24"/>
          <w:szCs w:val="24"/>
        </w:rPr>
        <w:t>Москва, «Планета», ТОО «Кузнецкий мост», 1993</w:t>
      </w:r>
    </w:p>
    <w:p w:rsidR="00325817" w:rsidRDefault="00325817">
      <w:pPr>
        <w:numPr>
          <w:ilvl w:val="0"/>
          <w:numId w:val="2"/>
        </w:numPr>
        <w:spacing w:line="360" w:lineRule="auto"/>
        <w:rPr>
          <w:b w:val="0"/>
          <w:bCs w:val="0"/>
          <w:i w:val="0"/>
          <w:iCs w:val="0"/>
          <w:sz w:val="24"/>
          <w:szCs w:val="24"/>
        </w:rPr>
      </w:pPr>
      <w:r>
        <w:rPr>
          <w:b w:val="0"/>
          <w:bCs w:val="0"/>
          <w:i w:val="0"/>
          <w:iCs w:val="0"/>
          <w:sz w:val="24"/>
          <w:szCs w:val="24"/>
        </w:rPr>
        <w:t xml:space="preserve"> «История русской православной церкви в 1917-1980 гг.» Протоирей Владислав Цыпин Московская Патриархия, издательский дом «Хроника», 1994</w:t>
      </w:r>
    </w:p>
    <w:p w:rsidR="00325817" w:rsidRDefault="00325817">
      <w:pPr>
        <w:numPr>
          <w:ilvl w:val="0"/>
          <w:numId w:val="3"/>
        </w:numPr>
        <w:spacing w:line="360" w:lineRule="auto"/>
        <w:rPr>
          <w:b w:val="0"/>
          <w:bCs w:val="0"/>
          <w:i w:val="0"/>
          <w:iCs w:val="0"/>
          <w:sz w:val="24"/>
          <w:szCs w:val="24"/>
        </w:rPr>
      </w:pPr>
      <w:r>
        <w:rPr>
          <w:b w:val="0"/>
          <w:bCs w:val="0"/>
          <w:i w:val="0"/>
          <w:iCs w:val="0"/>
          <w:sz w:val="24"/>
          <w:szCs w:val="24"/>
        </w:rPr>
        <w:t xml:space="preserve"> «Отделение Церкви от государства в СССР// Полное собрание документов, ведомственных распоряжений и определений Верховного суда РСФСР и других Советских Социалистических республик» Гидулянов П.В.   Москва, 1926</w:t>
      </w:r>
    </w:p>
    <w:p w:rsidR="00325817" w:rsidRDefault="00325817">
      <w:pPr>
        <w:numPr>
          <w:ilvl w:val="0"/>
          <w:numId w:val="4"/>
        </w:numPr>
        <w:spacing w:line="360" w:lineRule="auto"/>
        <w:rPr>
          <w:b w:val="0"/>
          <w:bCs w:val="0"/>
          <w:i w:val="0"/>
          <w:iCs w:val="0"/>
          <w:sz w:val="24"/>
          <w:szCs w:val="24"/>
        </w:rPr>
      </w:pPr>
      <w:r>
        <w:rPr>
          <w:b w:val="0"/>
          <w:bCs w:val="0"/>
          <w:i w:val="0"/>
          <w:iCs w:val="0"/>
          <w:sz w:val="24"/>
          <w:szCs w:val="24"/>
        </w:rPr>
        <w:t xml:space="preserve"> «Возрожденные святыни Москвы»  Альманах «Памятники Отечества» №37 (1,1997)</w:t>
      </w:r>
    </w:p>
    <w:p w:rsidR="00325817" w:rsidRDefault="00325817">
      <w:pPr>
        <w:numPr>
          <w:ilvl w:val="0"/>
          <w:numId w:val="4"/>
        </w:numPr>
        <w:spacing w:line="360" w:lineRule="auto"/>
        <w:rPr>
          <w:b w:val="0"/>
          <w:bCs w:val="0"/>
          <w:i w:val="0"/>
          <w:iCs w:val="0"/>
          <w:sz w:val="24"/>
          <w:szCs w:val="24"/>
        </w:rPr>
      </w:pPr>
      <w:r>
        <w:rPr>
          <w:b w:val="0"/>
          <w:bCs w:val="0"/>
          <w:i w:val="0"/>
          <w:iCs w:val="0"/>
          <w:sz w:val="24"/>
          <w:szCs w:val="24"/>
        </w:rPr>
        <w:t xml:space="preserve"> «Православная Москва»  Справочник действующих монастырей и храмов  Издательство братства святителя Тихона, 1995</w:t>
      </w:r>
    </w:p>
    <w:p w:rsidR="00325817" w:rsidRDefault="00325817">
      <w:pPr>
        <w:numPr>
          <w:ilvl w:val="0"/>
          <w:numId w:val="4"/>
        </w:numPr>
        <w:spacing w:line="360" w:lineRule="auto"/>
        <w:rPr>
          <w:b w:val="0"/>
          <w:bCs w:val="0"/>
          <w:i w:val="0"/>
          <w:iCs w:val="0"/>
          <w:sz w:val="24"/>
          <w:szCs w:val="24"/>
        </w:rPr>
      </w:pPr>
      <w:r>
        <w:rPr>
          <w:b w:val="0"/>
          <w:bCs w:val="0"/>
          <w:i w:val="0"/>
          <w:iCs w:val="0"/>
          <w:sz w:val="24"/>
          <w:szCs w:val="24"/>
        </w:rPr>
        <w:t>«История Москвы в памятниках культуры» Т.А. Молокова, В.П. Фролов   «Московский лицей», 1997</w:t>
      </w:r>
    </w:p>
    <w:p w:rsidR="00325817" w:rsidRDefault="00325817">
      <w:pPr>
        <w:numPr>
          <w:ilvl w:val="0"/>
          <w:numId w:val="4"/>
        </w:numPr>
        <w:spacing w:line="360" w:lineRule="auto"/>
        <w:rPr>
          <w:b w:val="0"/>
          <w:bCs w:val="0"/>
          <w:i w:val="0"/>
          <w:iCs w:val="0"/>
          <w:sz w:val="24"/>
          <w:szCs w:val="24"/>
        </w:rPr>
      </w:pPr>
      <w:r>
        <w:rPr>
          <w:b w:val="0"/>
          <w:bCs w:val="0"/>
          <w:i w:val="0"/>
          <w:iCs w:val="0"/>
          <w:sz w:val="24"/>
          <w:szCs w:val="24"/>
        </w:rPr>
        <w:t>«Храм Христа Спасителя в Москве. Страницы жизни и гибели.» Москва, «Планета», ТОО «Кузнецкий мост», 1992</w:t>
      </w:r>
      <w:bookmarkStart w:id="0" w:name="_GoBack"/>
      <w:bookmarkEnd w:id="0"/>
    </w:p>
    <w:sectPr w:rsidR="00325817">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17" w:rsidRDefault="00325817">
      <w:r>
        <w:separator/>
      </w:r>
    </w:p>
  </w:endnote>
  <w:endnote w:type="continuationSeparator" w:id="0">
    <w:p w:rsidR="00325817" w:rsidRDefault="0032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17" w:rsidRDefault="00325817">
      <w:r>
        <w:separator/>
      </w:r>
    </w:p>
  </w:footnote>
  <w:footnote w:type="continuationSeparator" w:id="0">
    <w:p w:rsidR="00325817" w:rsidRDefault="00325817">
      <w:r>
        <w:continuationSeparator/>
      </w:r>
    </w:p>
  </w:footnote>
  <w:footnote w:id="1">
    <w:p w:rsidR="00325817" w:rsidRDefault="00325817">
      <w:pPr>
        <w:pStyle w:val="a9"/>
        <w:spacing w:line="360" w:lineRule="auto"/>
      </w:pPr>
      <w:r>
        <w:rPr>
          <w:rStyle w:val="ab"/>
        </w:rPr>
        <w:footnoteRef/>
      </w:r>
      <w:r>
        <w:t xml:space="preserve"> «Наш современник» 1990 год №4  (стр.167-169)</w:t>
      </w:r>
    </w:p>
  </w:footnote>
  <w:footnote w:id="2">
    <w:p w:rsidR="00325817" w:rsidRDefault="00325817">
      <w:pPr>
        <w:pStyle w:val="a9"/>
        <w:rPr>
          <w:rFonts w:ascii="TimesDL" w:hAnsi="TimesDL" w:cs="TimesDL"/>
        </w:rPr>
      </w:pPr>
      <w:r>
        <w:rPr>
          <w:rStyle w:val="ab"/>
          <w:sz w:val="19"/>
          <w:szCs w:val="19"/>
        </w:rPr>
        <w:footnoteRef/>
      </w:r>
      <w:r>
        <w:rPr>
          <w:sz w:val="19"/>
          <w:szCs w:val="19"/>
        </w:rPr>
        <w:t xml:space="preserve"> </w:t>
      </w:r>
      <w:r>
        <w:t>«Известия» 13 июля 1931 года</w:t>
      </w:r>
    </w:p>
    <w:p w:rsidR="00325817" w:rsidRDefault="00325817">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17" w:rsidRDefault="00452F15">
    <w:pPr>
      <w:pStyle w:val="a3"/>
      <w:framePr w:wrap="auto" w:vAnchor="text" w:hAnchor="margin" w:xAlign="center" w:y="1"/>
      <w:rPr>
        <w:rStyle w:val="a5"/>
        <w:sz w:val="30"/>
        <w:szCs w:val="30"/>
      </w:rPr>
    </w:pPr>
    <w:r>
      <w:rPr>
        <w:rStyle w:val="a5"/>
        <w:noProof/>
        <w:sz w:val="30"/>
        <w:szCs w:val="30"/>
      </w:rPr>
      <w:t>1</w:t>
    </w:r>
  </w:p>
  <w:p w:rsidR="00325817" w:rsidRDefault="00325817">
    <w:pPr>
      <w:pStyle w:val="a3"/>
      <w:rPr>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0B9C"/>
    <w:multiLevelType w:val="singleLevel"/>
    <w:tmpl w:val="09648398"/>
    <w:lvl w:ilvl="0">
      <w:start w:val="3"/>
      <w:numFmt w:val="decimal"/>
      <w:lvlText w:val="%1. "/>
      <w:legacy w:legacy="1" w:legacySpace="0" w:legacyIndent="283"/>
      <w:lvlJc w:val="left"/>
      <w:pPr>
        <w:ind w:left="283" w:hanging="283"/>
      </w:pPr>
      <w:rPr>
        <w:rFonts w:ascii="TimesDL" w:hAnsi="TimesDL" w:cs="TimesDL" w:hint="default"/>
        <w:b w:val="0"/>
        <w:bCs w:val="0"/>
        <w:i w:val="0"/>
        <w:iCs w:val="0"/>
        <w:sz w:val="24"/>
        <w:szCs w:val="24"/>
        <w:u w:val="none"/>
      </w:rPr>
    </w:lvl>
  </w:abstractNum>
  <w:abstractNum w:abstractNumId="1">
    <w:nsid w:val="7F9604B5"/>
    <w:multiLevelType w:val="singleLevel"/>
    <w:tmpl w:val="9B8A8A88"/>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 w:numId="4">
    <w:abstractNumId w:val="0"/>
    <w:lvlOverride w:ilvl="0">
      <w:lvl w:ilvl="0">
        <w:start w:val="1"/>
        <w:numFmt w:val="decimal"/>
        <w:lvlText w:val="%1. "/>
        <w:legacy w:legacy="1" w:legacySpace="0" w:legacyIndent="283"/>
        <w:lvlJc w:val="left"/>
        <w:pPr>
          <w:ind w:left="283" w:hanging="283"/>
        </w:pPr>
        <w:rPr>
          <w:rFonts w:ascii="TimesDL" w:hAnsi="TimesDL" w:cs="TimesDL"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F15"/>
    <w:rsid w:val="00322F8C"/>
    <w:rsid w:val="00325817"/>
    <w:rsid w:val="00452F15"/>
    <w:rsid w:val="009524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8B3D38-CBEE-4185-8A92-7627BF11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b/>
      <w:bCs/>
      <w:i/>
      <w:iCs/>
      <w:sz w:val="32"/>
      <w:szCs w:val="32"/>
      <w:lang w:val="ru-RU" w:eastAsia="ru-RU"/>
    </w:rPr>
  </w:style>
  <w:style w:type="paragraph" w:styleId="1">
    <w:name w:val="heading 1"/>
    <w:basedOn w:val="a"/>
    <w:next w:val="a"/>
    <w:link w:val="10"/>
    <w:uiPriority w:val="99"/>
    <w:qFormat/>
    <w:pPr>
      <w:keepNext/>
      <w:spacing w:line="360" w:lineRule="auto"/>
      <w:jc w:val="center"/>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i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b/>
      <w:bCs/>
      <w:i/>
      <w:iCs/>
      <w:sz w:val="32"/>
      <w:szCs w:val="32"/>
    </w:rPr>
  </w:style>
  <w:style w:type="character" w:styleId="a5">
    <w:name w:val="page number"/>
    <w:uiPriority w:val="99"/>
  </w:style>
  <w:style w:type="character" w:styleId="a6">
    <w:name w:val="annotation reference"/>
    <w:uiPriority w:val="99"/>
    <w:rPr>
      <w:sz w:val="16"/>
      <w:szCs w:val="16"/>
    </w:rPr>
  </w:style>
  <w:style w:type="paragraph" w:styleId="a7">
    <w:name w:val="annotation text"/>
    <w:basedOn w:val="a"/>
    <w:link w:val="a8"/>
    <w:uiPriority w:val="99"/>
    <w:rPr>
      <w:sz w:val="20"/>
      <w:szCs w:val="20"/>
    </w:rPr>
  </w:style>
  <w:style w:type="character" w:customStyle="1" w:styleId="a8">
    <w:name w:val="Текст примечания Знак"/>
    <w:link w:val="a7"/>
    <w:uiPriority w:val="99"/>
    <w:semiHidden/>
    <w:rPr>
      <w:rFonts w:ascii="Times New Roman" w:hAnsi="Times New Roman" w:cs="Times New Roman"/>
      <w:b/>
      <w:bCs/>
      <w:i/>
      <w:iCs/>
      <w:sz w:val="20"/>
      <w:szCs w:val="20"/>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b/>
      <w:bCs/>
      <w:i/>
      <w:iCs/>
      <w:sz w:val="20"/>
      <w:szCs w:val="20"/>
    </w:rPr>
  </w:style>
  <w:style w:type="character" w:styleId="ab">
    <w:name w:val="footnote reference"/>
    <w:uiPriority w:val="99"/>
    <w:rPr>
      <w:vertAlign w:val="superscript"/>
    </w:rPr>
  </w:style>
  <w:style w:type="paragraph" w:styleId="ac">
    <w:name w:val="Body Text"/>
    <w:basedOn w:val="a"/>
    <w:link w:val="ad"/>
    <w:uiPriority w:val="99"/>
    <w:pPr>
      <w:spacing w:line="360" w:lineRule="auto"/>
      <w:jc w:val="both"/>
    </w:pPr>
    <w:rPr>
      <w:b w:val="0"/>
      <w:bCs w:val="0"/>
      <w:i w:val="0"/>
      <w:iCs w:val="0"/>
      <w:sz w:val="24"/>
      <w:szCs w:val="24"/>
    </w:rPr>
  </w:style>
  <w:style w:type="character" w:customStyle="1" w:styleId="ad">
    <w:name w:val="Основной текст Знак"/>
    <w:link w:val="ac"/>
    <w:uiPriority w:val="99"/>
    <w:semiHidden/>
    <w:rPr>
      <w:rFonts w:ascii="Times New Roman" w:hAnsi="Times New Roman" w:cs="Times New Roman"/>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6128</Words>
  <Characters>3494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Москва Патриаршая</vt:lpstr>
    </vt:vector>
  </TitlesOfParts>
  <Company> </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Патриаршая</dc:title>
  <dc:subject/>
  <dc:creator>MASHA</dc:creator>
  <cp:keywords/>
  <dc:description/>
  <cp:lastModifiedBy>admin</cp:lastModifiedBy>
  <cp:revision>2</cp:revision>
  <dcterms:created xsi:type="dcterms:W3CDTF">2014-01-27T16:42:00Z</dcterms:created>
  <dcterms:modified xsi:type="dcterms:W3CDTF">2014-01-27T16:42:00Z</dcterms:modified>
</cp:coreProperties>
</file>