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4" w:rsidRDefault="00B127A4" w:rsidP="007F6851">
      <w:pPr>
        <w:jc w:val="center"/>
        <w:rPr>
          <w:b/>
          <w:i/>
          <w:sz w:val="32"/>
          <w:szCs w:val="32"/>
          <w:u w:val="single"/>
        </w:rPr>
      </w:pPr>
    </w:p>
    <w:p w:rsidR="000F09FA" w:rsidRPr="002578DE" w:rsidRDefault="000F09FA" w:rsidP="007F6851">
      <w:pPr>
        <w:jc w:val="center"/>
        <w:rPr>
          <w:b/>
          <w:i/>
          <w:sz w:val="32"/>
          <w:szCs w:val="32"/>
          <w:u w:val="single"/>
        </w:rPr>
      </w:pPr>
      <w:r w:rsidRPr="002578DE">
        <w:rPr>
          <w:b/>
          <w:i/>
          <w:sz w:val="32"/>
          <w:szCs w:val="32"/>
          <w:u w:val="single"/>
        </w:rPr>
        <w:t>Муниципальные ценные бумаги (МЦБ)</w:t>
      </w:r>
    </w:p>
    <w:p w:rsidR="000F09FA" w:rsidRDefault="000F09FA" w:rsidP="007F6851">
      <w:pPr>
        <w:ind w:firstLine="360"/>
      </w:pPr>
    </w:p>
    <w:p w:rsidR="000F09FA" w:rsidRDefault="000F09FA" w:rsidP="007F6851">
      <w:pPr>
        <w:ind w:firstLine="360"/>
      </w:pPr>
      <w:r>
        <w:t xml:space="preserve">По своему назначению муниципальные облигации схожи с государственными, с той только разницей, что в первом случае заемщиком выступает государство в лице Министерства Финансов Российской Федерации, а во втором — субъекты Федерации в лице администраций. Именно поэтому подобные займы зачастую называют субфедеральными. </w:t>
      </w:r>
    </w:p>
    <w:p w:rsidR="000F09FA" w:rsidRDefault="000F09FA" w:rsidP="007F6851">
      <w:pPr>
        <w:ind w:firstLine="360"/>
      </w:pPr>
      <w:r>
        <w:t xml:space="preserve">Впервые субфедеральные займы появились в 1992 году, с того момента, когда появилась потребность в региональных заимствованиях. Однако по своим объемам они были незначительными и обращались исключительно на внебиржевом рынке. </w:t>
      </w:r>
    </w:p>
    <w:p w:rsidR="000F09FA" w:rsidRDefault="000F09FA" w:rsidP="007F6851">
      <w:pPr>
        <w:ind w:firstLine="360"/>
      </w:pPr>
      <w:r>
        <w:t xml:space="preserve">Свою рыночную историю муниципальные облигации отсчитывают с марта 1995 года, когда на рынок заимствований впервые вышел Санкт-Петербург. С самого своего рождения облигации Санкт-Петербурга имели присущую рыночным займам инфраструктуру: торги по облигациям проводились на бирже, с соблюдением принципа «поставка против платежа». </w:t>
      </w:r>
    </w:p>
    <w:p w:rsidR="000F09FA" w:rsidRDefault="000F09FA" w:rsidP="007F6851">
      <w:pPr>
        <w:ind w:firstLine="360"/>
      </w:pPr>
      <w:r>
        <w:t xml:space="preserve">Облигационный займ субъекта Федерации по сути своей — то же самое, что и облигационный займ любого коммерческого предприятия. Инвесторы кредитуют заемщика на условиях срочности, платности и возвратности, а заемщик в свою очередь направляет полученные ресурсы на те инвестиционные проекты, программы, мероприятия, на которые он сочтет нужным. </w:t>
      </w:r>
    </w:p>
    <w:p w:rsidR="000F09FA" w:rsidRDefault="000F09FA" w:rsidP="007F6851">
      <w:pPr>
        <w:ind w:firstLine="360"/>
      </w:pPr>
      <w:r>
        <w:t xml:space="preserve">Вместе с тем, основными целями выпуска муниципальных облигаций являются: </w:t>
      </w:r>
    </w:p>
    <w:p w:rsidR="000F09FA" w:rsidRDefault="000F09FA" w:rsidP="007F6851">
      <w:pPr>
        <w:pStyle w:val="1"/>
        <w:numPr>
          <w:ilvl w:val="0"/>
          <w:numId w:val="1"/>
        </w:numPr>
      </w:pPr>
      <w:r>
        <w:t xml:space="preserve">финансирование бюджетного дефицита; </w:t>
      </w:r>
    </w:p>
    <w:p w:rsidR="000F09FA" w:rsidRDefault="000F09FA" w:rsidP="007F6851">
      <w:pPr>
        <w:pStyle w:val="1"/>
        <w:numPr>
          <w:ilvl w:val="0"/>
          <w:numId w:val="1"/>
        </w:numPr>
      </w:pPr>
      <w:r>
        <w:t xml:space="preserve">оптимизация денежных потоков бюджета; </w:t>
      </w:r>
    </w:p>
    <w:p w:rsidR="000F09FA" w:rsidRDefault="000F09FA" w:rsidP="007F6851">
      <w:pPr>
        <w:pStyle w:val="1"/>
        <w:numPr>
          <w:ilvl w:val="0"/>
          <w:numId w:val="1"/>
        </w:numPr>
      </w:pPr>
      <w:r>
        <w:t xml:space="preserve">повышение эффективности управления долгом. </w:t>
      </w:r>
    </w:p>
    <w:p w:rsidR="000F09FA" w:rsidRDefault="000F09FA" w:rsidP="007F6851">
      <w:pPr>
        <w:ind w:firstLine="360"/>
      </w:pPr>
      <w:r>
        <w:t xml:space="preserve">Причем в отличие от банковских кредитов рыночная форма долга позволяет как повысить оперативность и эффективность управления, так и снизить стоимость заимствования за счет привлечения большого числа инвесторов. </w:t>
      </w:r>
    </w:p>
    <w:p w:rsidR="000F09FA" w:rsidRDefault="000F09FA" w:rsidP="007F6851">
      <w:pPr>
        <w:ind w:firstLine="360"/>
      </w:pPr>
      <w:r>
        <w:t xml:space="preserve">На сегодняшний день (2003 г.), рынок субфедеральных облигаций знает и положительные и отрицательные примеры. Ярким положительным примером выступает рынок облигаций Санкт-Петербурга, продолживший свое функционирование в полном объеме даже во время дефолта по государственным ценным бумагам. Среди успешно функционирующих займов следует также отметить бурно развивающиеся облигации городского (внутреннего) займа Москвы (ОГВЗ). </w:t>
      </w:r>
    </w:p>
    <w:p w:rsidR="000F09FA" w:rsidRDefault="000F09FA" w:rsidP="007F6851">
      <w:pPr>
        <w:ind w:firstLine="360"/>
      </w:pPr>
      <w:r>
        <w:t xml:space="preserve">Из отрицательных примеров можно назвать фактический дефолт по облигациям Омской и Оренбургской областей. </w:t>
      </w:r>
    </w:p>
    <w:p w:rsidR="000F09FA" w:rsidRDefault="000F09FA" w:rsidP="007F6851">
      <w:pPr>
        <w:ind w:firstLine="360"/>
      </w:pPr>
      <w:r>
        <w:t xml:space="preserve">Надо отметить, что понятие банкротства и соответствующие ему процедуры касательно субъектов Федерации не предусмотрены законодательством. Под дефолтом здесь подразумевается прекращение процентных выплат и выплат номинальной стоимости облигаций в установленные сроки. </w:t>
      </w:r>
    </w:p>
    <w:p w:rsidR="000F09FA" w:rsidRDefault="000F09FA" w:rsidP="007F6851">
      <w:pPr>
        <w:ind w:firstLine="360"/>
      </w:pPr>
      <w:r>
        <w:t xml:space="preserve">До недавнего времени самыми крупными эмитентами МЦБ являлись Москва, Санкт-Петербург, Республика Татарстан, Волгоград, Иркутск и Дальний Восток. Они очередные эмиссии сделали повторно. </w:t>
      </w:r>
    </w:p>
    <w:p w:rsidR="000F09FA" w:rsidRDefault="000F09FA" w:rsidP="007F6851">
      <w:pPr>
        <w:ind w:firstLine="360"/>
      </w:pPr>
      <w:r>
        <w:t xml:space="preserve">В настоящее время готовятся к выходу на рынок облигации Ленинградской, Калининградской и Томской областей, Ставропольского края, Ханты-Мансийского автономного округа, республик Карелия, Чувашия и Башкортостан. </w:t>
      </w:r>
    </w:p>
    <w:p w:rsidR="000F09FA" w:rsidRDefault="000F09FA" w:rsidP="007F6851">
      <w:pPr>
        <w:ind w:firstLine="360"/>
      </w:pPr>
      <w:r>
        <w:t>Как видно из рис. 2.1, география субфедеральных займов достаточно велика, однако при этом ведущее место занимают государственные именные облигации Санкт-Петербурга (ГИО).</w:t>
      </w:r>
    </w:p>
    <w:p w:rsidR="000F09FA" w:rsidRDefault="000F09FA" w:rsidP="007F6851">
      <w:pPr>
        <w:ind w:firstLine="360"/>
      </w:pPr>
    </w:p>
    <w:p w:rsidR="000F09FA" w:rsidRDefault="000F09FA" w:rsidP="007F6851">
      <w:pPr>
        <w:ind w:firstLine="360"/>
      </w:pPr>
      <w:r>
        <w:t xml:space="preserve">Муниципальные ценные бумаги не являются государственными. Их выпускают местные органы самоуправления в случае дефицита местного бюджета или финансирования некоммерческих объектов, требующих единовременных капитальных вложений. </w:t>
      </w:r>
    </w:p>
    <w:p w:rsidR="000F09FA" w:rsidRDefault="000F09FA" w:rsidP="007F6851">
      <w:pPr>
        <w:ind w:firstLine="360"/>
      </w:pPr>
      <w:r>
        <w:t xml:space="preserve">В настоящее время существуют две формы муниципальных займов: </w:t>
      </w:r>
    </w:p>
    <w:p w:rsidR="000F09FA" w:rsidRDefault="000F09FA" w:rsidP="007F6851">
      <w:pPr>
        <w:pStyle w:val="1"/>
        <w:numPr>
          <w:ilvl w:val="0"/>
          <w:numId w:val="2"/>
        </w:numPr>
      </w:pPr>
      <w:r>
        <w:t xml:space="preserve">выпуск муниципальных ценных бумаг; </w:t>
      </w:r>
    </w:p>
    <w:p w:rsidR="000F09FA" w:rsidRDefault="000F09FA" w:rsidP="007F6851">
      <w:pPr>
        <w:pStyle w:val="1"/>
        <w:numPr>
          <w:ilvl w:val="0"/>
          <w:numId w:val="2"/>
        </w:numPr>
      </w:pPr>
      <w:r>
        <w:t xml:space="preserve">ссуды. </w:t>
      </w:r>
    </w:p>
    <w:p w:rsidR="000F09FA" w:rsidRDefault="000F09FA" w:rsidP="007F6851">
      <w:pPr>
        <w:ind w:firstLine="360"/>
      </w:pPr>
    </w:p>
    <w:p w:rsidR="000F09FA" w:rsidRDefault="000F09FA" w:rsidP="007F6851">
      <w:pPr>
        <w:ind w:firstLine="360"/>
      </w:pPr>
      <w:r>
        <w:t xml:space="preserve">Чаще всего МЦБ выпускают в виде муниципальных облигаций, реже — векселей. </w:t>
      </w:r>
    </w:p>
    <w:p w:rsidR="000F09FA" w:rsidRDefault="000F09FA" w:rsidP="007F6851">
      <w:pPr>
        <w:ind w:firstLine="360"/>
      </w:pPr>
      <w:r>
        <w:t xml:space="preserve">Основными покупателями МЦБ являются население, коммерческие банки, инвестиционные фонды. </w:t>
      </w:r>
    </w:p>
    <w:p w:rsidR="000F09FA" w:rsidRDefault="000F09FA" w:rsidP="007F6851">
      <w:pPr>
        <w:ind w:firstLine="360"/>
      </w:pPr>
      <w:r>
        <w:t xml:space="preserve">Обеспечение займов может происходить за счет: </w:t>
      </w:r>
    </w:p>
    <w:p w:rsidR="000F09FA" w:rsidRDefault="000F09FA" w:rsidP="007F6851">
      <w:pPr>
        <w:pStyle w:val="1"/>
        <w:numPr>
          <w:ilvl w:val="0"/>
          <w:numId w:val="3"/>
        </w:numPr>
      </w:pPr>
      <w:r>
        <w:t xml:space="preserve">местных налогов; </w:t>
      </w:r>
    </w:p>
    <w:p w:rsidR="000F09FA" w:rsidRDefault="000F09FA" w:rsidP="007F6851">
      <w:pPr>
        <w:pStyle w:val="1"/>
        <w:numPr>
          <w:ilvl w:val="0"/>
          <w:numId w:val="3"/>
        </w:numPr>
      </w:pPr>
      <w:r>
        <w:t xml:space="preserve">доходов, получаемых в результате реализации какого-либо инвестиционного проекта; </w:t>
      </w:r>
    </w:p>
    <w:p w:rsidR="000F09FA" w:rsidRDefault="000F09FA" w:rsidP="007F6851">
      <w:pPr>
        <w:pStyle w:val="1"/>
        <w:numPr>
          <w:ilvl w:val="0"/>
          <w:numId w:val="3"/>
        </w:numPr>
      </w:pPr>
      <w:r>
        <w:t xml:space="preserve">местных налогов и реализации коммерческих мероприятий. </w:t>
      </w:r>
    </w:p>
    <w:p w:rsidR="000F09FA" w:rsidRDefault="000F09FA" w:rsidP="007F6851">
      <w:pPr>
        <w:ind w:firstLine="360"/>
      </w:pPr>
      <w:r>
        <w:t xml:space="preserve">Выпускаются МЦБ и под заклад конкретного имущества, и под гарантию Федерального правительства. </w:t>
      </w:r>
    </w:p>
    <w:p w:rsidR="000F09FA" w:rsidRDefault="000F09FA" w:rsidP="007F6851">
      <w:pPr>
        <w:ind w:firstLine="360"/>
      </w:pPr>
      <w:r>
        <w:t xml:space="preserve">В зависимости от целей выпуска и объема эмиссии различают: </w:t>
      </w:r>
    </w:p>
    <w:p w:rsidR="000F09FA" w:rsidRDefault="000F09FA" w:rsidP="007F6851">
      <w:pPr>
        <w:pStyle w:val="1"/>
        <w:numPr>
          <w:ilvl w:val="0"/>
          <w:numId w:val="4"/>
        </w:numPr>
      </w:pPr>
      <w:r>
        <w:t xml:space="preserve">процентные и беспроцентные облигации; </w:t>
      </w:r>
    </w:p>
    <w:p w:rsidR="000F09FA" w:rsidRDefault="000F09FA" w:rsidP="007F6851">
      <w:pPr>
        <w:pStyle w:val="1"/>
        <w:numPr>
          <w:ilvl w:val="0"/>
          <w:numId w:val="4"/>
        </w:numPr>
      </w:pPr>
      <w:r>
        <w:t xml:space="preserve">купонные и бескупонные облигации; </w:t>
      </w:r>
    </w:p>
    <w:p w:rsidR="000F09FA" w:rsidRDefault="000F09FA" w:rsidP="007F6851">
      <w:pPr>
        <w:pStyle w:val="1"/>
        <w:numPr>
          <w:ilvl w:val="0"/>
          <w:numId w:val="4"/>
        </w:numPr>
      </w:pPr>
      <w:r>
        <w:t xml:space="preserve">облигации с премией и по номиналу; </w:t>
      </w:r>
    </w:p>
    <w:p w:rsidR="000F09FA" w:rsidRDefault="000F09FA" w:rsidP="007F6851">
      <w:pPr>
        <w:pStyle w:val="1"/>
        <w:numPr>
          <w:ilvl w:val="0"/>
          <w:numId w:val="4"/>
        </w:numPr>
      </w:pPr>
      <w:r>
        <w:t xml:space="preserve">целевые или специальные займы; </w:t>
      </w:r>
    </w:p>
    <w:p w:rsidR="000F09FA" w:rsidRDefault="000F09FA" w:rsidP="007F6851">
      <w:pPr>
        <w:pStyle w:val="1"/>
        <w:numPr>
          <w:ilvl w:val="0"/>
          <w:numId w:val="4"/>
        </w:numPr>
      </w:pPr>
      <w:r>
        <w:t xml:space="preserve">социальные, связанные с социальной защищенностью населения (погашение задолженностей по заработной плате работников социально-культурной сферы; дотации по содержанию объектов ЖКХ и т.д.); </w:t>
      </w:r>
    </w:p>
    <w:p w:rsidR="000F09FA" w:rsidRDefault="000F09FA" w:rsidP="007F6851">
      <w:pPr>
        <w:ind w:firstLine="360"/>
      </w:pPr>
      <w:r>
        <w:t xml:space="preserve">Для покрытия дефицита местного бюджета выпускаются муниципальные ценные бумаги, которые могут продаваться с дисконтом, с премией но номиналу. Они могут погашаться рублями, валютой или иметь товарный характер погашения. Размещают МЦБ на специальных аукционах в свободной продаже. Как показал опыт размещения любых выпусков МЦБ, их первичное размещение зачастую весьма растянуто во времени и его порой не удается осуществить полностью. </w:t>
      </w:r>
    </w:p>
    <w:p w:rsidR="000F09FA" w:rsidRDefault="000F09FA" w:rsidP="007F6851">
      <w:pPr>
        <w:ind w:firstLine="360"/>
      </w:pPr>
    </w:p>
    <w:p w:rsidR="000F09FA" w:rsidRDefault="000F09FA" w:rsidP="007F6851">
      <w:pPr>
        <w:ind w:firstLine="360"/>
      </w:pPr>
      <w:r>
        <w:t xml:space="preserve">Вместе с тем, несмотря на невысокую доходность МЦБ по сравнению с государственными бумагами, они привлекают инвесторов своей надежностью. </w:t>
      </w:r>
    </w:p>
    <w:p w:rsidR="000F09FA" w:rsidRDefault="000F09FA" w:rsidP="007F6851">
      <w:pPr>
        <w:ind w:firstLine="360"/>
      </w:pPr>
      <w:r>
        <w:t xml:space="preserve">Устроители выпусков МЦБ предлагают инвесторам возможность погасить займы недвижимостью, землей, выигрышами по лотереям. При этом предельный объем заемных средств, направляемых субъектом Российской Федерации и муниципальным образованием в течение текущего финансового года на указанные цели, не должен превышать: </w:t>
      </w:r>
    </w:p>
    <w:p w:rsidR="000F09FA" w:rsidRDefault="000F09FA" w:rsidP="007F6851">
      <w:pPr>
        <w:pStyle w:val="1"/>
        <w:numPr>
          <w:ilvl w:val="0"/>
          <w:numId w:val="5"/>
        </w:numPr>
      </w:pPr>
      <w:r>
        <w:t xml:space="preserve">для субъекта Российской Федерации — 30% объема собственных доходов бюджета на текущий финансовый год без учета финансовой помощи из федерального бюджета и привлеченных в текущем финансовом году заемных средств; </w:t>
      </w:r>
    </w:p>
    <w:p w:rsidR="000F09FA" w:rsidRDefault="000F09FA" w:rsidP="007F6851">
      <w:pPr>
        <w:pStyle w:val="1"/>
        <w:numPr>
          <w:ilvl w:val="0"/>
          <w:numId w:val="5"/>
        </w:numPr>
      </w:pPr>
      <w:r>
        <w:t xml:space="preserve">для муниципального образования — 15% объема доходов местного бюджета на текущий финансовый год без учета финансовой помощи из федерального бюджета и бюджета субъекта Российской Федерации, а также без учета привлеченных в текущем финансовом году заемных средств; </w:t>
      </w:r>
    </w:p>
    <w:p w:rsidR="000F09FA" w:rsidRDefault="000F09FA" w:rsidP="007F6851">
      <w:pPr>
        <w:pStyle w:val="1"/>
        <w:numPr>
          <w:ilvl w:val="0"/>
          <w:numId w:val="5"/>
        </w:numPr>
      </w:pPr>
      <w:r>
        <w:t xml:space="preserve">расходов на обслуживание (за исключением расходов на погашение) соответствующего государственного долга и муниципального долга в текущем финансовом году. При этом предельный объем расходов на обслуживание государственного долга в текущем финансовом году не должен превышать 15% объемов расходов бюджета соответствующего уровня. </w:t>
      </w:r>
    </w:p>
    <w:p w:rsidR="000F09FA" w:rsidRDefault="000F09FA" w:rsidP="007F6851">
      <w:pPr>
        <w:ind w:firstLine="360"/>
      </w:pPr>
    </w:p>
    <w:p w:rsidR="000F09FA" w:rsidRDefault="000F09FA" w:rsidP="007F6851">
      <w:pPr>
        <w:ind w:firstLine="360"/>
      </w:pPr>
      <w:r>
        <w:t xml:space="preserve">В составе предельного объема заемных средств не учитываются средства, привлекаемые и полностью используемые в текущем финансовом году на погашение (реструктуризацию) имеющегося долга. </w:t>
      </w:r>
    </w:p>
    <w:p w:rsidR="000F09FA" w:rsidRDefault="000F09FA" w:rsidP="007F6851">
      <w:pPr>
        <w:ind w:firstLine="360"/>
      </w:pPr>
      <w:r>
        <w:t xml:space="preserve">Особое место занимают жилищные сертификаты, являющиеся именными ценными бумагами, которые могут выпускаться в документарной и бездокументарной формах. </w:t>
      </w:r>
    </w:p>
    <w:p w:rsidR="000F09FA" w:rsidRDefault="000F09FA" w:rsidP="007F6851">
      <w:pPr>
        <w:ind w:firstLine="360"/>
      </w:pPr>
      <w:r>
        <w:t xml:space="preserve">Жилищные сертификаты — это любые ценные бумаги или обязательства, номинированные в единицах общей площади жилья и имеющие индексируемую номинальную стоимость в денежном выражении, размещаемые среди граждан и юридических лиц. Это дает право их владельцам при соблюдении определяемых в проспекте эмиссии условий требовать от эмитента их погашения путем предоставления в собственность жилых помещений, строительство которых финансировалось от размещения указанных ценных бумаг. При этом номинал этих ценных бумаг определяется в единицах общей площади жилья, а также в денежном эквиваленте. Минимальная величина номинала не может быть меньше 0,1 кв. м. Денежный эквивалент жилищного сертификата устанавливается эмитентом, который ориентируется на стоимость 1 кв. м жилья. Стоимостное выражение номинала жилищного сертификата остается постоянной величиной на весь срок его действия, который не может превышать нормативного срока строительства жилого дома более чем в два раза. </w:t>
      </w:r>
    </w:p>
    <w:p w:rsidR="000F09FA" w:rsidRDefault="000F09FA" w:rsidP="007F6851">
      <w:pPr>
        <w:ind w:firstLine="360"/>
      </w:pPr>
      <w:r>
        <w:t xml:space="preserve">Дальнейшее развитие рынка МЦБ связано с совершенствованием реформ и их продуктивностью, а следовательно, с увеличением объемов финансирования производственных, социальных и экологических проектов. </w:t>
      </w:r>
    </w:p>
    <w:p w:rsidR="000F09FA" w:rsidRDefault="000F09FA" w:rsidP="007F6851">
      <w:pPr>
        <w:ind w:firstLine="360"/>
      </w:pPr>
    </w:p>
    <w:p w:rsidR="000F09FA" w:rsidRDefault="000F09FA" w:rsidP="007F6851">
      <w:pPr>
        <w:ind w:firstLine="360"/>
      </w:pPr>
      <w:r>
        <w:t xml:space="preserve">Надо отметить, что до Октябрьской революции также существовали муниципальные ценные бумаги. Так, в начале XX века в ходу были облигационные займы городов. </w:t>
      </w:r>
    </w:p>
    <w:p w:rsidR="000F09FA" w:rsidRDefault="000F09FA" w:rsidP="007F6851">
      <w:pPr>
        <w:ind w:firstLine="360"/>
      </w:pPr>
      <w:r>
        <w:t xml:space="preserve">В международной практике широко используется выпуск муниципальных ценных бумаг под гарантии со стороны правительства. Так, в США они даже в суммарной капитализации превышают долю корпоративных ценных бумаг. Эмитентами выступают специализированные финансово-кредитные учреждения, которые находятся в собственности федерального правительства или получают у него поддержку. Они выпускают долговые ценные бумаги для финансирования сельского хозяйства, жилищного строительства и других секторов экономики, которые не выдерживают коммерческих условий заимствования у частных банков. </w:t>
      </w:r>
    </w:p>
    <w:p w:rsidR="000F09FA" w:rsidRDefault="000F09FA" w:rsidP="007F6851">
      <w:pPr>
        <w:ind w:firstLine="360"/>
      </w:pPr>
      <w:r>
        <w:t xml:space="preserve">В Японии выпускаемые облигации в основном служат для кредитования жилищного и дорожного строительства, энергетики и др. </w:t>
      </w:r>
    </w:p>
    <w:p w:rsidR="000F09FA" w:rsidRDefault="000F09FA" w:rsidP="007F6851">
      <w:pPr>
        <w:ind w:firstLine="360"/>
      </w:pPr>
      <w:r>
        <w:t>Краткие выводы</w:t>
      </w:r>
    </w:p>
    <w:p w:rsidR="000F09FA" w:rsidRDefault="000F09FA" w:rsidP="007F6851">
      <w:pPr>
        <w:ind w:firstLine="360"/>
      </w:pPr>
      <w:r>
        <w:t xml:space="preserve">Акция — это свидетельство о внесении определенной доли в уставной капитал общества. </w:t>
      </w:r>
    </w:p>
    <w:p w:rsidR="000F09FA" w:rsidRDefault="000F09FA" w:rsidP="007F6851">
      <w:pPr>
        <w:ind w:firstLine="360"/>
      </w:pPr>
      <w:r>
        <w:t xml:space="preserve">Акция — это особая, корпоративная долевая фондовая, рыночная, биржевая, инвестиционная стоимость, несущая в себе регулирующие функции в системе развития экономики. Регулирующие свойства акций связаны прежде всего с такими характеристиками, как ликвидность и доходность. </w:t>
      </w:r>
    </w:p>
    <w:p w:rsidR="000F09FA" w:rsidRDefault="000F09FA" w:rsidP="007F6851">
      <w:pPr>
        <w:ind w:firstLine="360"/>
      </w:pPr>
      <w:r>
        <w:t xml:space="preserve">Обыкновенные и привилегированные акции имеют свои особенности, определяющие спрос и предложение, доходность и рискованность инвестиций. </w:t>
      </w:r>
    </w:p>
    <w:p w:rsidR="000F09FA" w:rsidRDefault="000F09FA" w:rsidP="007F6851">
      <w:pPr>
        <w:ind w:firstLine="360"/>
      </w:pPr>
      <w:r>
        <w:t xml:space="preserve">Эмитент обыкновенных и привилегированных акций для снижения риска может использовать различные подходы. </w:t>
      </w:r>
    </w:p>
    <w:p w:rsidR="000F09FA" w:rsidRDefault="000F09FA" w:rsidP="007F6851">
      <w:pPr>
        <w:ind w:firstLine="360"/>
      </w:pPr>
      <w:r>
        <w:t xml:space="preserve">Существуют акции, подлежащие в первую очередь погашению и тем самым способствующие снижению риска инвестирования. </w:t>
      </w:r>
    </w:p>
    <w:p w:rsidR="000F09FA" w:rsidRDefault="000F09FA" w:rsidP="007F6851">
      <w:pPr>
        <w:ind w:firstLine="360"/>
      </w:pPr>
      <w:r>
        <w:t xml:space="preserve">Облигация — это долговая ценная бумага, долговое обязательство, сочетающая заемные и эмиссионные свойства. </w:t>
      </w:r>
    </w:p>
    <w:p w:rsidR="000F09FA" w:rsidRDefault="000F09FA" w:rsidP="007F6851">
      <w:pPr>
        <w:ind w:firstLine="360"/>
      </w:pPr>
      <w:r>
        <w:t xml:space="preserve">Облигации делятся на облигации с указанной датой погашения, облигации без фиксированного срока погашения, облигации, обеспеченные залогом. </w:t>
      </w:r>
    </w:p>
    <w:p w:rsidR="000F09FA" w:rsidRDefault="000F09FA" w:rsidP="007F6851">
      <w:pPr>
        <w:ind w:firstLine="360"/>
      </w:pPr>
      <w:r>
        <w:t xml:space="preserve">Все облигации имеют номинальную стоимость, которая указывает на сумму займа и подлежит возврату по истечении определенного срока. </w:t>
      </w:r>
    </w:p>
    <w:p w:rsidR="000F09FA" w:rsidRDefault="000F09FA" w:rsidP="007F6851">
      <w:pPr>
        <w:ind w:firstLine="360"/>
      </w:pPr>
      <w:r>
        <w:t xml:space="preserve">По эмитентам облигации делятся на государственные, муниципальные, корпоративные, иностранных компаний. </w:t>
      </w:r>
    </w:p>
    <w:p w:rsidR="000F09FA" w:rsidRDefault="000F09FA" w:rsidP="007F6851">
      <w:pPr>
        <w:ind w:firstLine="360"/>
      </w:pPr>
      <w:r>
        <w:t xml:space="preserve">Проценты по облигациям определяются условиями выпуска. </w:t>
      </w:r>
    </w:p>
    <w:p w:rsidR="000F09FA" w:rsidRDefault="000F09FA" w:rsidP="007F6851">
      <w:pPr>
        <w:ind w:firstLine="360"/>
      </w:pPr>
      <w:r>
        <w:t xml:space="preserve">Функции дилера на вторичном рынке государственных облигаций выполняет Банк России. Выполняя также функции агента Министерства финансов по обслуживанию облигационных займов, Банк России еженедельно устанавливает специальные цены покупки и продажи. </w:t>
      </w:r>
    </w:p>
    <w:p w:rsidR="000F09FA" w:rsidRDefault="000F09FA" w:rsidP="007F6851">
      <w:pPr>
        <w:ind w:firstLine="360"/>
      </w:pPr>
      <w:r>
        <w:t xml:space="preserve">Муниципальные ценные бумаги выпускают местные органы самоуправления, чтобы финансировать некоммерческие объекты, требующие единовременных капитальных вложений, или уменьшить дефицит бюджета. Бумаги выпускаются в основном в виде облигаций, иногда векселей. </w:t>
      </w:r>
    </w:p>
    <w:p w:rsidR="000F09FA" w:rsidRDefault="000F09FA" w:rsidP="007F6851">
      <w:pPr>
        <w:ind w:firstLine="360"/>
      </w:pPr>
      <w:r>
        <w:t xml:space="preserve">Доходность муниципальных ценных бумаг, как правило, невысока. Инвесторов привлекает высокая надежность займов. </w:t>
      </w: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Default="000F09FA" w:rsidP="007F6851">
      <w:pPr>
        <w:ind w:firstLine="360"/>
        <w:rPr>
          <w:lang w:val="en-US"/>
        </w:rPr>
      </w:pPr>
    </w:p>
    <w:p w:rsidR="000F09FA" w:rsidRPr="007F6851" w:rsidRDefault="000F09FA" w:rsidP="007F6851">
      <w:pPr>
        <w:ind w:firstLine="360"/>
        <w:jc w:val="center"/>
        <w:rPr>
          <w:u w:val="single"/>
        </w:rPr>
      </w:pPr>
      <w:r w:rsidRPr="007F6851">
        <w:rPr>
          <w:u w:val="single"/>
        </w:rPr>
        <w:t>Рекомендуемая литература</w:t>
      </w:r>
    </w:p>
    <w:p w:rsidR="000F09FA" w:rsidRDefault="000F09FA" w:rsidP="007F6851">
      <w:pPr>
        <w:ind w:firstLine="360"/>
      </w:pPr>
      <w:r>
        <w:t xml:space="preserve">Алехин Б. И. Рынок ценных бумаг. — М.: Финансы и статистика, 1992. —352с. </w:t>
      </w:r>
    </w:p>
    <w:p w:rsidR="000F09FA" w:rsidRDefault="000F09FA" w:rsidP="007F6851">
      <w:pPr>
        <w:ind w:firstLine="360"/>
      </w:pPr>
      <w:r>
        <w:t xml:space="preserve">Каратуев А. Г. Ценные бумаги: виды и разновидности. Учеб. пособие. - М.: Русская деловая литература, 1997. — 225 с. </w:t>
      </w:r>
    </w:p>
    <w:p w:rsidR="000F09FA" w:rsidRDefault="000F09FA" w:rsidP="007F6851">
      <w:pPr>
        <w:ind w:firstLine="360"/>
      </w:pPr>
      <w:r>
        <w:t xml:space="preserve">Миркин Я. М. Ценные бумаги и фондовый рынок. - М.: Перспектива, 1995. -550с. </w:t>
      </w:r>
    </w:p>
    <w:p w:rsidR="000F09FA" w:rsidRDefault="000F09FA" w:rsidP="007F6851">
      <w:pPr>
        <w:ind w:firstLine="360"/>
      </w:pPr>
      <w:r>
        <w:t xml:space="preserve">Фельдман А. А. Государственные ценные бумаги. Учебное пособие. — М.: Инфра-М, 1995. -240 с. </w:t>
      </w:r>
    </w:p>
    <w:p w:rsidR="000F09FA" w:rsidRDefault="000F09FA" w:rsidP="007F6851">
      <w:pPr>
        <w:ind w:firstLine="360"/>
      </w:pPr>
      <w:r>
        <w:t xml:space="preserve">Тьюлз Р., Брэдли Э., Тьюла Т. Фондовый рынок. - 6-е изд.: Пер. с англ. - М.: Инфра-М, 1997. - 648 с. </w:t>
      </w:r>
    </w:p>
    <w:p w:rsidR="000F09FA" w:rsidRDefault="000F09FA" w:rsidP="007F6851">
      <w:pPr>
        <w:ind w:firstLine="360"/>
      </w:pPr>
      <w:r>
        <w:t>Черников Г. П. Фондовая биржа: международный опыт. - М.: Международные отношения, 1991. — 362 с.</w:t>
      </w:r>
      <w:bookmarkStart w:id="0" w:name="_GoBack"/>
      <w:bookmarkEnd w:id="0"/>
    </w:p>
    <w:sectPr w:rsidR="000F09FA" w:rsidSect="00F3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5479"/>
    <w:multiLevelType w:val="hybridMultilevel"/>
    <w:tmpl w:val="FAC4F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8237C2"/>
    <w:multiLevelType w:val="hybridMultilevel"/>
    <w:tmpl w:val="B750E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965B0"/>
    <w:multiLevelType w:val="hybridMultilevel"/>
    <w:tmpl w:val="DFBA8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B362B"/>
    <w:multiLevelType w:val="hybridMultilevel"/>
    <w:tmpl w:val="C4CEA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C3472E"/>
    <w:multiLevelType w:val="hybridMultilevel"/>
    <w:tmpl w:val="D578E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8DE"/>
    <w:rsid w:val="00043E15"/>
    <w:rsid w:val="00086535"/>
    <w:rsid w:val="000F09FA"/>
    <w:rsid w:val="002578DE"/>
    <w:rsid w:val="0033573C"/>
    <w:rsid w:val="00691BD7"/>
    <w:rsid w:val="007F6851"/>
    <w:rsid w:val="008E294B"/>
    <w:rsid w:val="00B127A4"/>
    <w:rsid w:val="00F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DCC-47BC-4845-A7D6-B4B2FD33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Муниципальные ценные бумаги (МЦБ)</vt:lpstr>
    </vt:vector>
  </TitlesOfParts>
  <Company>HOME</Company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Муниципальные ценные бумаги (МЦБ)</dc:title>
  <dc:subject/>
  <dc:creator>КАРИНА</dc:creator>
  <cp:keywords/>
  <dc:description/>
  <cp:lastModifiedBy>admin</cp:lastModifiedBy>
  <cp:revision>2</cp:revision>
  <cp:lastPrinted>2010-04-01T04:59:00Z</cp:lastPrinted>
  <dcterms:created xsi:type="dcterms:W3CDTF">2014-04-06T13:18:00Z</dcterms:created>
  <dcterms:modified xsi:type="dcterms:W3CDTF">2014-04-06T13:18:00Z</dcterms:modified>
</cp:coreProperties>
</file>