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429" w:rsidRDefault="00EE2429">
      <w:pPr>
        <w:pStyle w:val="a5"/>
        <w:ind w:firstLine="0"/>
        <w:rPr>
          <w:rFonts w:ascii="Courier New" w:hAnsi="Courier New" w:cs="Courier New"/>
          <w:bCs/>
          <w:sz w:val="36"/>
          <w:u w:val="none"/>
        </w:rPr>
      </w:pPr>
      <w:r>
        <w:rPr>
          <w:rFonts w:ascii="Courier New" w:hAnsi="Courier New" w:cs="Courier New"/>
          <w:bCs/>
          <w:sz w:val="36"/>
        </w:rPr>
        <w:t>Оглавление</w:t>
      </w:r>
    </w:p>
    <w:p w:rsidR="00EE2429" w:rsidRDefault="00EE2429">
      <w:pPr>
        <w:pStyle w:val="a5"/>
        <w:ind w:firstLine="0"/>
        <w:rPr>
          <w:rFonts w:ascii="Courier New" w:hAnsi="Courier New" w:cs="Courier New"/>
          <w:bCs/>
          <w:u w:val="none"/>
        </w:rPr>
      </w:pPr>
    </w:p>
    <w:p w:rsidR="00EE2429" w:rsidRDefault="00EE2429">
      <w:pPr>
        <w:pStyle w:val="a5"/>
        <w:ind w:firstLine="360"/>
        <w:rPr>
          <w:rFonts w:ascii="Courier New" w:hAnsi="Courier New" w:cs="Courier New"/>
          <w:bCs/>
          <w:sz w:val="28"/>
          <w:u w:val="none"/>
        </w:rPr>
      </w:pPr>
      <w:r>
        <w:rPr>
          <w:rFonts w:ascii="Courier New" w:hAnsi="Courier New" w:cs="Courier New"/>
          <w:bCs/>
          <w:sz w:val="28"/>
        </w:rPr>
        <w:t>Введение</w:t>
      </w:r>
      <w:r>
        <w:rPr>
          <w:rFonts w:ascii="Courier New" w:hAnsi="Courier New" w:cs="Courier New"/>
          <w:bCs/>
          <w:sz w:val="28"/>
          <w:u w:val="none"/>
        </w:rPr>
        <w:t xml:space="preserve">                                            2</w:t>
      </w:r>
    </w:p>
    <w:p w:rsidR="00EE2429" w:rsidRDefault="00EE2429">
      <w:pPr>
        <w:pStyle w:val="a5"/>
        <w:ind w:firstLine="360"/>
        <w:rPr>
          <w:rFonts w:ascii="Courier New" w:hAnsi="Courier New" w:cs="Courier New"/>
          <w:bCs/>
          <w:sz w:val="28"/>
          <w:u w:val="none"/>
        </w:rPr>
      </w:pPr>
      <w:r>
        <w:rPr>
          <w:rFonts w:ascii="Courier New" w:hAnsi="Courier New" w:cs="Courier New"/>
          <w:bCs/>
          <w:sz w:val="28"/>
          <w:u w:val="none"/>
        </w:rPr>
        <w:t xml:space="preserve">1. </w:t>
      </w:r>
      <w:r>
        <w:rPr>
          <w:rFonts w:ascii="Courier New" w:hAnsi="Courier New" w:cs="Courier New"/>
          <w:bCs/>
          <w:sz w:val="28"/>
        </w:rPr>
        <w:t>Налогообложение банков.</w:t>
      </w:r>
      <w:r>
        <w:rPr>
          <w:rFonts w:ascii="Courier New" w:hAnsi="Courier New" w:cs="Courier New"/>
          <w:bCs/>
          <w:sz w:val="28"/>
          <w:u w:val="none"/>
        </w:rPr>
        <w:t xml:space="preserve">                          5</w:t>
      </w:r>
    </w:p>
    <w:p w:rsidR="00EE2429" w:rsidRDefault="00EE2429">
      <w:pPr>
        <w:pStyle w:val="a5"/>
        <w:ind w:firstLine="360"/>
        <w:rPr>
          <w:rFonts w:ascii="Courier New" w:hAnsi="Courier New" w:cs="Courier New"/>
          <w:sz w:val="28"/>
          <w:u w:val="none"/>
        </w:rPr>
      </w:pPr>
      <w:r>
        <w:rPr>
          <w:rFonts w:ascii="Courier New" w:hAnsi="Courier New" w:cs="Courier New"/>
          <w:sz w:val="28"/>
          <w:u w:val="none"/>
        </w:rPr>
        <w:t xml:space="preserve">2. </w:t>
      </w:r>
      <w:r>
        <w:rPr>
          <w:rFonts w:ascii="Courier New" w:hAnsi="Courier New" w:cs="Courier New"/>
          <w:sz w:val="28"/>
        </w:rPr>
        <w:t>Налогообложение банков (Зарубежный опыт)</w:t>
      </w:r>
      <w:r>
        <w:rPr>
          <w:rFonts w:ascii="Courier New" w:hAnsi="Courier New" w:cs="Courier New"/>
          <w:sz w:val="28"/>
          <w:u w:val="none"/>
        </w:rPr>
        <w:t xml:space="preserve">        14</w:t>
      </w:r>
    </w:p>
    <w:p w:rsidR="00EE2429" w:rsidRDefault="00EE2429">
      <w:pPr>
        <w:pStyle w:val="a5"/>
        <w:ind w:firstLine="360"/>
        <w:rPr>
          <w:rFonts w:ascii="Courier New" w:hAnsi="Courier New" w:cs="Courier New"/>
          <w:bCs/>
          <w:color w:val="000000"/>
          <w:sz w:val="28"/>
          <w:u w:val="none"/>
        </w:rPr>
      </w:pPr>
      <w:r>
        <w:rPr>
          <w:rFonts w:ascii="Courier New" w:hAnsi="Courier New" w:cs="Courier New"/>
          <w:bCs/>
          <w:color w:val="000000"/>
          <w:sz w:val="28"/>
          <w:u w:val="none"/>
        </w:rPr>
        <w:t xml:space="preserve">3. </w:t>
      </w:r>
      <w:r>
        <w:rPr>
          <w:rFonts w:ascii="Courier New" w:hAnsi="Courier New" w:cs="Courier New"/>
          <w:bCs/>
          <w:color w:val="000000"/>
          <w:sz w:val="28"/>
        </w:rPr>
        <w:t>Анализ и рекомендации.</w:t>
      </w:r>
      <w:r>
        <w:rPr>
          <w:rFonts w:ascii="Courier New" w:hAnsi="Courier New" w:cs="Courier New"/>
          <w:bCs/>
          <w:color w:val="000000"/>
          <w:sz w:val="28"/>
          <w:u w:val="none"/>
        </w:rPr>
        <w:t xml:space="preserve">                          17</w:t>
      </w:r>
    </w:p>
    <w:p w:rsidR="00EE2429" w:rsidRDefault="00EE2429">
      <w:pPr>
        <w:pStyle w:val="a5"/>
        <w:ind w:firstLine="360"/>
        <w:rPr>
          <w:rFonts w:ascii="Courier New" w:hAnsi="Courier New" w:cs="Courier New"/>
          <w:bCs/>
          <w:color w:val="000000"/>
          <w:sz w:val="28"/>
          <w:u w:val="none"/>
        </w:rPr>
      </w:pPr>
      <w:r>
        <w:rPr>
          <w:rFonts w:ascii="Courier New" w:hAnsi="Courier New" w:cs="Courier New"/>
          <w:bCs/>
          <w:color w:val="000000"/>
          <w:sz w:val="28"/>
        </w:rPr>
        <w:t>Заключение</w:t>
      </w:r>
      <w:r>
        <w:rPr>
          <w:rFonts w:ascii="Courier New" w:hAnsi="Courier New" w:cs="Courier New"/>
          <w:bCs/>
          <w:color w:val="000000"/>
          <w:sz w:val="28"/>
          <w:u w:val="none"/>
        </w:rPr>
        <w:t xml:space="preserve">                                         19</w:t>
      </w:r>
    </w:p>
    <w:p w:rsidR="00EE2429" w:rsidRDefault="00EE2429">
      <w:pPr>
        <w:pStyle w:val="a5"/>
        <w:ind w:firstLine="360"/>
        <w:rPr>
          <w:rFonts w:ascii="Courier New" w:hAnsi="Courier New" w:cs="Courier New"/>
          <w:bCs/>
          <w:sz w:val="28"/>
          <w:u w:val="none"/>
        </w:rPr>
      </w:pPr>
      <w:r>
        <w:rPr>
          <w:rFonts w:ascii="Courier New" w:hAnsi="Courier New" w:cs="Courier New"/>
          <w:bCs/>
          <w:color w:val="000000"/>
          <w:sz w:val="28"/>
        </w:rPr>
        <w:t>Список использованной литературы</w:t>
      </w:r>
      <w:r>
        <w:rPr>
          <w:rFonts w:ascii="Courier New" w:hAnsi="Courier New" w:cs="Courier New"/>
          <w:bCs/>
          <w:color w:val="000000"/>
          <w:sz w:val="28"/>
          <w:u w:val="none"/>
        </w:rPr>
        <w:t xml:space="preserve">                   22</w:t>
      </w: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p>
    <w:p w:rsidR="00EE2429" w:rsidRDefault="00EE2429">
      <w:pPr>
        <w:pStyle w:val="a5"/>
        <w:ind w:firstLine="0"/>
        <w:jc w:val="center"/>
        <w:rPr>
          <w:rFonts w:ascii="Courier New" w:hAnsi="Courier New" w:cs="Courier New"/>
          <w:bCs/>
        </w:rPr>
      </w:pPr>
      <w:r>
        <w:rPr>
          <w:rFonts w:ascii="Courier New" w:hAnsi="Courier New" w:cs="Courier New"/>
          <w:bCs/>
        </w:rPr>
        <w:t>Введение</w:t>
      </w:r>
    </w:p>
    <w:p w:rsidR="00EE2429" w:rsidRDefault="00EE2429">
      <w:pPr>
        <w:pStyle w:val="a5"/>
        <w:rPr>
          <w:rFonts w:ascii="Courier New" w:hAnsi="Courier New" w:cs="Courier New"/>
          <w:bCs/>
          <w:u w:val="none"/>
        </w:rPr>
      </w:pPr>
      <w:r>
        <w:rPr>
          <w:rFonts w:ascii="Courier New" w:hAnsi="Courier New" w:cs="Courier New"/>
          <w:bCs/>
          <w:u w:val="none"/>
        </w:rPr>
        <w:t>До 1991 года большинство банков, действовавших в Российской Федерации, принадлежало государству. Появившиеся к этому времени коммерческие и кооперативные банки были немногочисленны и не играли большой роли в экономике.</w:t>
      </w:r>
    </w:p>
    <w:p w:rsidR="00EE2429" w:rsidRDefault="00EE2429">
      <w:pPr>
        <w:pStyle w:val="a5"/>
        <w:rPr>
          <w:rFonts w:ascii="Courier New" w:hAnsi="Courier New" w:cs="Courier New"/>
          <w:bCs/>
          <w:u w:val="none"/>
        </w:rPr>
      </w:pPr>
      <w:r>
        <w:rPr>
          <w:rFonts w:ascii="Courier New" w:hAnsi="Courier New" w:cs="Courier New"/>
          <w:bCs/>
          <w:u w:val="none"/>
        </w:rPr>
        <w:t>Начатое в конце 1990 года акционирование государственных специализированных банков и превращение их в коммерческие, завершенное в 1991 году, практически совпало со становлением российской налоговой системы.</w:t>
      </w:r>
    </w:p>
    <w:p w:rsidR="00EE2429" w:rsidRDefault="00EE2429">
      <w:pPr>
        <w:pStyle w:val="a5"/>
        <w:ind w:firstLine="0"/>
        <w:rPr>
          <w:rFonts w:ascii="Courier New" w:hAnsi="Courier New" w:cs="Courier New"/>
          <w:bCs/>
          <w:u w:val="none"/>
        </w:rPr>
      </w:pPr>
      <w:r>
        <w:rPr>
          <w:rFonts w:ascii="Courier New" w:hAnsi="Courier New" w:cs="Courier New"/>
          <w:bCs/>
          <w:u w:val="none"/>
        </w:rPr>
        <w:t xml:space="preserve">В 1991 году был принят действующий и в настоящее время Закон "Об основах налоговой системы в Российской Федерации", с последующими изменениями и дополнениями определяющий общие принципы построения налоговой системы и не претерпевший (за редким исключением) кардинальных изменений. Действующее в настоящее время налоговое законодательство не предусматривает каких-либо специальных налогов на банки, рассматривая их в плане налогообложения как обычные предприятия, но с учетом тех или иных особенностей. Таким образом, банки, как и любые другие предприятия, должны платить все федеральные налоги, налоги субъектов Федерации и местные налоги. Фактически некоторые налоги банки не платят, поскольку Законом "О банках и банковской деятельности" банкам запрещены любые операции по производству и торговле материальными ценностями. </w:t>
      </w:r>
    </w:p>
    <w:p w:rsidR="00EE2429" w:rsidRDefault="00EE2429">
      <w:pPr>
        <w:pStyle w:val="a5"/>
        <w:rPr>
          <w:rFonts w:ascii="Courier New" w:hAnsi="Courier New" w:cs="Courier New"/>
          <w:bCs/>
          <w:u w:val="none"/>
        </w:rPr>
      </w:pPr>
      <w:r>
        <w:rPr>
          <w:rFonts w:ascii="Courier New" w:hAnsi="Courier New" w:cs="Courier New"/>
          <w:bCs/>
          <w:u w:val="none"/>
        </w:rPr>
        <w:t xml:space="preserve">Налог на доходы банков платился в 1992-93 гг. по ставке 30 % от доходов банка (прибыль плюс зарплата работников банка). В период действия этого налога в банках получили широчайшее распространение разнообразные методы "неофициальной" выплаты зарплаты с выводом ее из-под налога: беспроцентные ссуды на длительный или неопределенный срок, вклады под 1000000 % годовых, льготная продажа валюты по курсу в 100000 раз ниже рыночного и тому подобные. Некоторые из этих методов в настоящее время фактически легализованы и облагаются только подоходным налогом с физического лица, а некоторые формально запрещены, но продолжают использоваться благодаря нечетким формулировкам законодательства. Такие методы сохраняют эффективность и в условиях налога на прибыль в связи с высоким уровнем начислений на зарплату (Пенсионный фонд, соцстрах и т. п.). </w:t>
      </w:r>
    </w:p>
    <w:p w:rsidR="00EE2429" w:rsidRDefault="00EE2429">
      <w:pPr>
        <w:pStyle w:val="a5"/>
        <w:rPr>
          <w:rFonts w:ascii="Courier New" w:hAnsi="Courier New" w:cs="Courier New"/>
          <w:bCs/>
          <w:u w:val="none"/>
        </w:rPr>
      </w:pPr>
      <w:r>
        <w:rPr>
          <w:rFonts w:ascii="Courier New" w:hAnsi="Courier New" w:cs="Courier New"/>
          <w:bCs/>
          <w:u w:val="none"/>
        </w:rPr>
        <w:t xml:space="preserve">Основными бюджетообразующими налогами в России являются налог на прибыль и налог на добавленную стоимость, дающие в сумме свыше 50 % доходов бюджета. Налогом на добавленную стоимость облагается только малая доля банковских услуг, как правило, менее 1 % всех доходов банка. Основную часть налоговых платежей в банках составляет налог на прибыль, с 1994 года заменивший налог на доходы банков. </w:t>
      </w:r>
    </w:p>
    <w:p w:rsidR="00EE2429" w:rsidRDefault="00EE2429">
      <w:pPr>
        <w:pStyle w:val="a5"/>
        <w:rPr>
          <w:rFonts w:ascii="Courier New" w:hAnsi="Courier New" w:cs="Courier New"/>
          <w:bCs/>
          <w:u w:val="none"/>
        </w:rPr>
      </w:pPr>
      <w:r>
        <w:rPr>
          <w:rFonts w:ascii="Courier New" w:hAnsi="Courier New" w:cs="Courier New"/>
          <w:bCs/>
          <w:u w:val="none"/>
        </w:rPr>
        <w:t xml:space="preserve">Предоставление банкам такой льготы (в какой-то мере оправданной для предприятий-производителей) повлекло за собой дальнейшее повышение курса валюты, так же как предоставление льгот по государственным ценным бумагам способствовало строительству пирамиды ГКО. Тем самым банки вновь отвлекаются от реального сектора экономики. </w:t>
      </w:r>
    </w:p>
    <w:p w:rsidR="00EE2429" w:rsidRDefault="00EE2429">
      <w:pPr>
        <w:pStyle w:val="a5"/>
        <w:rPr>
          <w:rFonts w:ascii="Courier New" w:hAnsi="Courier New" w:cs="Courier New"/>
          <w:bCs/>
          <w:u w:val="none"/>
        </w:rPr>
      </w:pPr>
      <w:r>
        <w:rPr>
          <w:rFonts w:ascii="Courier New" w:hAnsi="Courier New" w:cs="Courier New"/>
          <w:bCs/>
          <w:u w:val="none"/>
        </w:rPr>
        <w:t xml:space="preserve">Наличие значительных льгот, а также полулегальных возможностей для уклонения от уплаты налога на прибыль привело к тому, что, например, в Нижегородской области среди филиалов московских банков платили налог на прибыль только некоторые из малых учреждений, а ни средние, ни крупные налог не платили. </w:t>
      </w:r>
    </w:p>
    <w:p w:rsidR="00EE2429" w:rsidRDefault="00EE2429">
      <w:pPr>
        <w:pStyle w:val="a5"/>
        <w:rPr>
          <w:rFonts w:ascii="Courier New" w:hAnsi="Courier New" w:cs="Courier New"/>
          <w:bCs/>
          <w:u w:val="none"/>
        </w:rPr>
      </w:pPr>
      <w:r>
        <w:rPr>
          <w:rFonts w:ascii="Courier New" w:hAnsi="Courier New" w:cs="Courier New"/>
          <w:bCs/>
          <w:u w:val="none"/>
        </w:rPr>
        <w:t xml:space="preserve">Специфической проблемой стало неисполнение банками платежных поручений клиентов на перечисления налоговых платежей в бюджеты всех уровней и внебюджетные фонды. В соответствии с действующим законодательством обязанности налогоплательщика при этом считаются исполненными, а деньги в бюджет не поступают. Такое положение может длиться достаточно долгое время, пока у банка не будет отозвана лицензия. Необходимо отметить, что в последнее время наметилась тенденция к ускорению процесса отзыва банковской лицензии, но и сейчас сроки продолжают оставаться неоправданно большими (до одного года). </w:t>
      </w:r>
    </w:p>
    <w:p w:rsidR="00EE2429" w:rsidRDefault="00EE2429">
      <w:pPr>
        <w:pStyle w:val="a5"/>
        <w:rPr>
          <w:rFonts w:ascii="Courier New" w:hAnsi="Courier New" w:cs="Courier New"/>
          <w:bCs/>
          <w:u w:val="none"/>
        </w:rPr>
      </w:pPr>
      <w:r>
        <w:rPr>
          <w:rFonts w:ascii="Courier New" w:hAnsi="Courier New" w:cs="Courier New"/>
          <w:bCs/>
          <w:u w:val="none"/>
        </w:rPr>
        <w:t xml:space="preserve">Анализ показывает, что наиболее устойчивые банки являются одновременно наиболее крупными плательщиками налога на прибыль, а кандидаты в банкроты либо вообще не платят этот налог, либо платят в минимальных суммах. К сожалению, предложения по совершенствованию налогового законодательства, как правило, остаются без ответа. До настоящего времени не принята разработанная несколько лет назад новая редакция Положения об особенностях определения налогооблагаемой базы для уплаты налога на прибыль банками и другими кредитными учреждениями, хотя и этот документ, по имеющимся сведениям, не позволяет полностью исключить все негативные моменты в сложившейся системе налогообложения банков. На наш взгляд, наиболее целесообразным изменением налогового законодательства в настоящее время было бы введение специального налога на банки в виде определенного процента от валюты баланса. </w:t>
      </w:r>
    </w:p>
    <w:p w:rsidR="00EE2429" w:rsidRDefault="00EE2429">
      <w:pPr>
        <w:pStyle w:val="a5"/>
        <w:rPr>
          <w:rFonts w:ascii="Courier New" w:hAnsi="Courier New" w:cs="Courier New"/>
          <w:bCs/>
          <w:u w:val="none"/>
        </w:rPr>
      </w:pPr>
      <w:r>
        <w:rPr>
          <w:rFonts w:ascii="Courier New" w:hAnsi="Courier New" w:cs="Courier New"/>
          <w:bCs/>
          <w:u w:val="none"/>
        </w:rPr>
        <w:t xml:space="preserve">По итогам 1998 года учреждения коммерческих банков, расположенные на территории Нижегородской области, заплатили налоги в бюджеты всех уровней и внебюджетные фонды на общую сумму 757,5 млн. руб., что составляет 6,4 % от общей суммы налоговых поступлений (11 898,4 млн. руб.). </w:t>
      </w:r>
    </w:p>
    <w:p w:rsidR="00EE2429" w:rsidRDefault="00EE2429">
      <w:pPr>
        <w:pStyle w:val="a5"/>
        <w:rPr>
          <w:rFonts w:ascii="Courier New" w:hAnsi="Courier New" w:cs="Courier New"/>
          <w:bCs/>
          <w:u w:val="none"/>
        </w:rPr>
      </w:pPr>
      <w:r>
        <w:rPr>
          <w:rFonts w:ascii="Courier New" w:hAnsi="Courier New" w:cs="Courier New"/>
          <w:bCs/>
          <w:u w:val="none"/>
        </w:rPr>
        <w:t xml:space="preserve">По налогу на прибыль доля коммерческих банков составила: </w:t>
      </w:r>
    </w:p>
    <w:p w:rsidR="00EE2429" w:rsidRDefault="00EE2429">
      <w:pPr>
        <w:pStyle w:val="a5"/>
        <w:rPr>
          <w:rFonts w:ascii="Courier New" w:hAnsi="Courier New" w:cs="Courier New"/>
          <w:bCs/>
          <w:u w:val="none"/>
        </w:rPr>
      </w:pPr>
      <w:r>
        <w:rPr>
          <w:rFonts w:ascii="Courier New" w:hAnsi="Courier New" w:cs="Courier New"/>
          <w:bCs/>
          <w:u w:val="none"/>
        </w:rPr>
        <w:t xml:space="preserve">в федеральный бюджет - 16,9 % (205,9 и 1 217,9 млн. руб. соответственно); </w:t>
      </w:r>
    </w:p>
    <w:p w:rsidR="00EE2429" w:rsidRDefault="00EE2429">
      <w:pPr>
        <w:pStyle w:val="a5"/>
        <w:rPr>
          <w:rFonts w:ascii="Courier New" w:hAnsi="Courier New" w:cs="Courier New"/>
          <w:bCs/>
          <w:u w:val="none"/>
        </w:rPr>
      </w:pPr>
      <w:r>
        <w:rPr>
          <w:rFonts w:ascii="Courier New" w:hAnsi="Courier New" w:cs="Courier New"/>
          <w:bCs/>
          <w:u w:val="none"/>
        </w:rPr>
        <w:t xml:space="preserve">в бюджеты территорий - 23 % (расчетно, исходя из ставок 30 % и 22 %). </w:t>
      </w:r>
    </w:p>
    <w:p w:rsidR="00EE2429" w:rsidRDefault="00EE2429">
      <w:pPr>
        <w:pStyle w:val="a5"/>
        <w:rPr>
          <w:rFonts w:ascii="Courier New" w:hAnsi="Courier New" w:cs="Courier New"/>
          <w:bCs/>
          <w:u w:val="none"/>
        </w:rPr>
      </w:pPr>
      <w:r>
        <w:rPr>
          <w:rFonts w:ascii="Courier New" w:hAnsi="Courier New" w:cs="Courier New"/>
          <w:bCs/>
          <w:u w:val="none"/>
        </w:rPr>
        <w:t xml:space="preserve">При этом количество учреждений банков, являющихся плательщиками налога на прибыль, составило на 1 января 1999 г. всего 174 единицы, что составляет менее 0,5 % от общего числа плательщиков налога на прибыль (35 263). </w:t>
      </w:r>
    </w:p>
    <w:p w:rsidR="00EE2429" w:rsidRDefault="00EE2429">
      <w:pPr>
        <w:pStyle w:val="a5"/>
        <w:rPr>
          <w:rFonts w:ascii="Courier New" w:hAnsi="Courier New" w:cs="Courier New"/>
          <w:bCs/>
          <w:u w:val="none"/>
        </w:rPr>
      </w:pPr>
      <w:r>
        <w:rPr>
          <w:rFonts w:ascii="Courier New" w:hAnsi="Courier New" w:cs="Courier New"/>
          <w:bCs/>
          <w:u w:val="none"/>
        </w:rPr>
        <w:t xml:space="preserve">В результате проведенных проверок 105-ти учреждений коммерческих банков были выявлены нарушения в 42-х кредитных организациях и их филиалах. Сумма доначисленных платежей составила 49 993,3 тыс. руб. По итогам 1998 года балансовая прибыль коммерческих банков составила 1 047 749,9 тыс. руб. С учетом корректировки прибыли в соответствии с требованиями Инструкции ? 37 от 10.08.95 г. "О порядке исчисления и уплаты налога на прибыль..." налогооблагаемая база составила 263 973,4 тыс. руб. По состоянию на 1 января 1998 г., на территории Нижегородской области прекратили деятельность 12 учреждений коммерческих банков, в том числе 11 - по причине отзыва лицензии (у "Инкотрансбанка" лицензия отозвана в 1999 г.). Этими банками не перечислены платежи в бюджет и внебюджетные фонды на общую сумму 134,7 млн. руб. </w:t>
      </w:r>
    </w:p>
    <w:p w:rsidR="00EE2429" w:rsidRDefault="00EE2429">
      <w:pPr>
        <w:pStyle w:val="a5"/>
        <w:rPr>
          <w:rFonts w:ascii="Courier New" w:hAnsi="Courier New" w:cs="Courier New"/>
          <w:bCs/>
          <w:u w:val="none"/>
        </w:rPr>
      </w:pPr>
      <w:r>
        <w:rPr>
          <w:rFonts w:ascii="Courier New" w:hAnsi="Courier New" w:cs="Courier New"/>
          <w:bCs/>
          <w:u w:val="none"/>
        </w:rPr>
        <w:t xml:space="preserve">Налоговыми инспекциями в ходе регулярных проверок было выявлено 1 074 случая задержки перечисления налоговых платежей в бюджеты всех уровней и внебюджетные фонды на общую сумму 23,6 млн. руб. при наличии средств на счетах клиентов и банков. </w:t>
      </w:r>
    </w:p>
    <w:p w:rsidR="00EE2429" w:rsidRDefault="00EE2429">
      <w:pPr>
        <w:pStyle w:val="a5"/>
        <w:rPr>
          <w:rFonts w:ascii="Courier New" w:hAnsi="Courier New" w:cs="Courier New"/>
          <w:bCs/>
        </w:rPr>
      </w:pPr>
      <w:r>
        <w:rPr>
          <w:rFonts w:ascii="Courier New" w:hAnsi="Courier New" w:cs="Courier New"/>
          <w:bCs/>
          <w:u w:val="none"/>
        </w:rPr>
        <w:t>Налоговыми инспекциями предъявлены санкции в виде пени на общую сумму 9,8 млн. руб., однако взыскано только 0,2 млн. руб., поскольку в основном санкции предъявлялись к неплатежеспособным банкам. В этой связи учреждениями Центрального банка Российской Федерации меры воздействия к неплатежеспособным банкам принимаются только тогда, когда положение уже невозможно исправить, и все воздействие сводится к отзыву лицензии.</w:t>
      </w:r>
    </w:p>
    <w:p w:rsidR="00EE2429" w:rsidRDefault="00EE2429">
      <w:pPr>
        <w:pStyle w:val="a5"/>
        <w:rPr>
          <w:rFonts w:ascii="Courier New" w:hAnsi="Courier New" w:cs="Courier New"/>
          <w:bCs/>
          <w:u w:val="none"/>
        </w:rPr>
      </w:pPr>
      <w:r>
        <w:rPr>
          <w:rFonts w:ascii="Courier New" w:hAnsi="Courier New" w:cs="Courier New"/>
          <w:bCs/>
          <w:u w:val="none"/>
        </w:rPr>
        <w:t xml:space="preserve">Налог на прибыль предприятий платится банками по ставке 43 % от балансовой прибыли, скорректированной согласно налоговому законодательству. Прибыль увеличивается на суммы: превышения лимита по нормируемым затратам (проценты по межбанковским кредитам, командировочные, представительские и рекламные расходы, компенсации за использование личных автомобилей, затраты на подготовку кадров); отчислений в резерв по необеспеченным и некоторым иным ссудам; износа основных фондов, материалов быстрого потребления и нематериальных активов, не используемых для банковской деятельности; убытков от реализации основных средств и иного имущества; компенсации разниц в процентных ставках по льготным ссудам, выданным работникам банка, и возмещения разницы при продаже валюты по льготному курсу (если эти операции осуществлялись не за счет банковских фондов); санкций, внесенных в бюджет или внебюджетные фонды; доходов, образовавшихся при закрытии первоначальных договоров по договорам отступного, новации или передачи права требования третьему лицу, если эти доходы не были отнесены на счета учета доходов; а также некоторые иные суммы. Прибыль уменьшается на суммы: восстановленного резерва по ссудам, если ранее он не был заявлен в уменьшение налогооблагаемой базы; части прибыли от реализации основных фондов, освобождаемой от налогообложения в связи с применением индекса-дефлятора; сумм полученных дивидендов (облагаются у источника) и доходов по государственным ценным бумагам, а также некоторые другие суммы. </w:t>
      </w:r>
    </w:p>
    <w:p w:rsidR="00EE2429" w:rsidRDefault="00EE2429">
      <w:pPr>
        <w:pStyle w:val="a5"/>
        <w:rPr>
          <w:rFonts w:ascii="Courier New" w:hAnsi="Courier New" w:cs="Courier New"/>
          <w:bCs/>
          <w:u w:val="none"/>
        </w:rPr>
      </w:pPr>
      <w:r>
        <w:rPr>
          <w:rFonts w:ascii="Courier New" w:hAnsi="Courier New" w:cs="Courier New"/>
          <w:bCs/>
          <w:u w:val="none"/>
        </w:rPr>
        <w:t xml:space="preserve">Кроме того, при уплате налога на прибыль за 1998 год банки, как и другие предприятия, были освобождены от уплаты налога на прибыль, полученную от превышения положительных курсовых разниц от переоценки валюты над отрицательными. </w:t>
      </w:r>
    </w:p>
    <w:p w:rsidR="00EE2429" w:rsidRDefault="00EE2429">
      <w:pPr>
        <w:pStyle w:val="a5"/>
        <w:ind w:firstLine="0"/>
        <w:rPr>
          <w:rFonts w:ascii="Courier New" w:hAnsi="Courier New" w:cs="Courier New"/>
          <w:bCs/>
        </w:rPr>
      </w:pPr>
    </w:p>
    <w:p w:rsidR="00EE2429" w:rsidRDefault="00EE2429">
      <w:pPr>
        <w:pStyle w:val="a5"/>
        <w:ind w:firstLine="0"/>
        <w:rPr>
          <w:rFonts w:ascii="Courier New" w:hAnsi="Courier New" w:cs="Courier New"/>
          <w:bCs/>
        </w:rPr>
      </w:pPr>
    </w:p>
    <w:p w:rsidR="00EE2429" w:rsidRDefault="00EE2429">
      <w:pPr>
        <w:pStyle w:val="a5"/>
        <w:ind w:firstLine="0"/>
        <w:rPr>
          <w:rFonts w:ascii="Courier New" w:hAnsi="Courier New" w:cs="Courier New"/>
          <w:bCs/>
        </w:rPr>
      </w:pPr>
    </w:p>
    <w:p w:rsidR="00EE2429" w:rsidRDefault="00EE2429">
      <w:pPr>
        <w:pStyle w:val="a5"/>
        <w:ind w:firstLine="0"/>
        <w:rPr>
          <w:rFonts w:ascii="Courier New" w:hAnsi="Courier New" w:cs="Courier New"/>
          <w:bCs/>
        </w:rPr>
      </w:pPr>
    </w:p>
    <w:p w:rsidR="00EE2429" w:rsidRDefault="00EE2429">
      <w:pPr>
        <w:pStyle w:val="a5"/>
        <w:ind w:firstLine="0"/>
        <w:rPr>
          <w:rFonts w:ascii="Courier New" w:hAnsi="Courier New" w:cs="Courier New"/>
          <w:bCs/>
        </w:rPr>
      </w:pPr>
    </w:p>
    <w:p w:rsidR="00EE2429" w:rsidRDefault="00EE2429">
      <w:pPr>
        <w:pStyle w:val="a5"/>
        <w:ind w:firstLine="0"/>
        <w:rPr>
          <w:rFonts w:ascii="Courier New" w:hAnsi="Courier New" w:cs="Courier New"/>
          <w:bCs/>
        </w:rPr>
      </w:pPr>
    </w:p>
    <w:p w:rsidR="00EE2429" w:rsidRDefault="00EE2429">
      <w:pPr>
        <w:pStyle w:val="a5"/>
        <w:ind w:firstLine="0"/>
        <w:rPr>
          <w:rFonts w:ascii="Courier New" w:hAnsi="Courier New" w:cs="Courier New"/>
          <w:bCs/>
        </w:rPr>
      </w:pPr>
    </w:p>
    <w:p w:rsidR="00EE2429" w:rsidRDefault="00EE2429">
      <w:pPr>
        <w:pStyle w:val="a5"/>
        <w:ind w:firstLine="0"/>
        <w:rPr>
          <w:rFonts w:ascii="Courier New" w:hAnsi="Courier New" w:cs="Courier New"/>
          <w:bCs/>
        </w:rPr>
      </w:pPr>
    </w:p>
    <w:p w:rsidR="00EE2429" w:rsidRDefault="00EE2429">
      <w:pPr>
        <w:pStyle w:val="a5"/>
        <w:ind w:firstLine="0"/>
        <w:rPr>
          <w:rFonts w:ascii="Courier New" w:hAnsi="Courier New" w:cs="Courier New"/>
          <w:bCs/>
        </w:rPr>
      </w:pPr>
    </w:p>
    <w:p w:rsidR="00EE2429" w:rsidRDefault="00EE2429">
      <w:pPr>
        <w:pStyle w:val="a5"/>
        <w:ind w:firstLine="0"/>
        <w:rPr>
          <w:rFonts w:ascii="Courier New" w:hAnsi="Courier New" w:cs="Courier New"/>
          <w:bCs/>
        </w:rPr>
      </w:pPr>
    </w:p>
    <w:p w:rsidR="00EE2429" w:rsidRDefault="00EE2429">
      <w:pPr>
        <w:pStyle w:val="a5"/>
        <w:ind w:firstLine="0"/>
        <w:rPr>
          <w:rFonts w:ascii="Courier New" w:hAnsi="Courier New" w:cs="Courier New"/>
          <w:bCs/>
        </w:rPr>
      </w:pPr>
    </w:p>
    <w:p w:rsidR="00EE2429" w:rsidRDefault="00EE2429">
      <w:pPr>
        <w:pStyle w:val="a5"/>
        <w:ind w:firstLine="0"/>
        <w:jc w:val="center"/>
        <w:rPr>
          <w:rFonts w:ascii="Courier New" w:hAnsi="Courier New" w:cs="Courier New"/>
          <w:bCs/>
        </w:rPr>
      </w:pPr>
      <w:r>
        <w:rPr>
          <w:rFonts w:ascii="Courier New" w:hAnsi="Courier New" w:cs="Courier New"/>
          <w:bCs/>
        </w:rPr>
        <w:t>1. Налогообложение банков.</w:t>
      </w:r>
    </w:p>
    <w:p w:rsidR="00EE2429" w:rsidRDefault="00EE2429">
      <w:pPr>
        <w:pStyle w:val="a5"/>
        <w:ind w:firstLine="0"/>
        <w:rPr>
          <w:rFonts w:ascii="Courier New" w:hAnsi="Courier New" w:cs="Courier New"/>
          <w:bCs/>
        </w:rPr>
      </w:pPr>
      <w:r>
        <w:rPr>
          <w:rFonts w:ascii="Courier New" w:hAnsi="Courier New" w:cs="Courier New"/>
          <w:bCs/>
          <w:u w:val="none"/>
        </w:rPr>
        <w:t xml:space="preserve">1.1 </w:t>
      </w:r>
      <w:r>
        <w:rPr>
          <w:rFonts w:ascii="Courier New" w:hAnsi="Courier New" w:cs="Courier New"/>
          <w:bCs/>
        </w:rPr>
        <w:t>Особенности исчисления налогооблагаемой базы.</w:t>
      </w:r>
    </w:p>
    <w:p w:rsidR="00EE2429" w:rsidRDefault="00EE2429">
      <w:pPr>
        <w:pStyle w:val="a5"/>
        <w:rPr>
          <w:rFonts w:ascii="Courier New" w:hAnsi="Courier New" w:cs="Courier New"/>
          <w:bCs/>
        </w:rPr>
      </w:pPr>
    </w:p>
    <w:p w:rsidR="00EE2429" w:rsidRDefault="00EE2429">
      <w:pPr>
        <w:pStyle w:val="a5"/>
        <w:jc w:val="left"/>
        <w:rPr>
          <w:rFonts w:ascii="Courier New" w:hAnsi="Courier New" w:cs="Courier New"/>
          <w:bCs/>
          <w:u w:val="none"/>
        </w:rPr>
      </w:pPr>
      <w:r>
        <w:rPr>
          <w:rFonts w:ascii="Courier New" w:hAnsi="Courier New" w:cs="Courier New"/>
          <w:bCs/>
          <w:u w:val="none"/>
        </w:rPr>
        <w:t>Плательщиками налога на доход в соответствии с Законом РФ "О налогообложении доходов банков" являются:</w:t>
      </w:r>
    </w:p>
    <w:p w:rsidR="00EE2429" w:rsidRDefault="00EE2429">
      <w:pPr>
        <w:numPr>
          <w:ilvl w:val="0"/>
          <w:numId w:val="3"/>
        </w:numPr>
        <w:tabs>
          <w:tab w:val="clear" w:pos="360"/>
          <w:tab w:val="num" w:pos="720"/>
        </w:tabs>
        <w:ind w:left="720"/>
        <w:jc w:val="both"/>
        <w:outlineLvl w:val="0"/>
        <w:rPr>
          <w:rFonts w:ascii="Courier New" w:hAnsi="Courier New" w:cs="Courier New"/>
          <w:bCs/>
        </w:rPr>
      </w:pPr>
      <w:r>
        <w:rPr>
          <w:rFonts w:ascii="Courier New" w:hAnsi="Courier New" w:cs="Courier New"/>
          <w:bCs/>
        </w:rPr>
        <w:t>коммерческие банки;</w:t>
      </w:r>
    </w:p>
    <w:p w:rsidR="00EE2429" w:rsidRDefault="00EE2429">
      <w:pPr>
        <w:numPr>
          <w:ilvl w:val="0"/>
          <w:numId w:val="3"/>
        </w:numPr>
        <w:tabs>
          <w:tab w:val="clear" w:pos="360"/>
          <w:tab w:val="num" w:pos="720"/>
        </w:tabs>
        <w:ind w:left="720"/>
        <w:jc w:val="both"/>
        <w:outlineLvl w:val="0"/>
        <w:rPr>
          <w:rFonts w:ascii="Courier New" w:hAnsi="Courier New" w:cs="Courier New"/>
          <w:bCs/>
        </w:rPr>
      </w:pPr>
      <w:r>
        <w:rPr>
          <w:rFonts w:ascii="Courier New" w:hAnsi="Courier New" w:cs="Courier New"/>
          <w:bCs/>
        </w:rPr>
        <w:t>кредитные учреждения, получившие лицензию Центрального банка</w:t>
      </w:r>
    </w:p>
    <w:p w:rsidR="00EE2429" w:rsidRDefault="00EE2429">
      <w:pPr>
        <w:numPr>
          <w:ilvl w:val="0"/>
          <w:numId w:val="3"/>
        </w:numPr>
        <w:tabs>
          <w:tab w:val="clear" w:pos="360"/>
          <w:tab w:val="num" w:pos="720"/>
        </w:tabs>
        <w:ind w:left="720"/>
        <w:jc w:val="both"/>
        <w:outlineLvl w:val="0"/>
        <w:rPr>
          <w:rFonts w:ascii="Courier New" w:hAnsi="Courier New" w:cs="Courier New"/>
          <w:bCs/>
        </w:rPr>
      </w:pPr>
      <w:r>
        <w:rPr>
          <w:rFonts w:ascii="Courier New" w:hAnsi="Courier New" w:cs="Courier New"/>
          <w:bCs/>
        </w:rPr>
        <w:t>Российской Федерации на осуществление отдельных банковских операций;</w:t>
      </w:r>
    </w:p>
    <w:p w:rsidR="00EE2429" w:rsidRDefault="00EE2429">
      <w:pPr>
        <w:numPr>
          <w:ilvl w:val="0"/>
          <w:numId w:val="3"/>
        </w:numPr>
        <w:tabs>
          <w:tab w:val="clear" w:pos="360"/>
          <w:tab w:val="num" w:pos="720"/>
        </w:tabs>
        <w:ind w:left="720"/>
        <w:jc w:val="both"/>
        <w:outlineLvl w:val="0"/>
        <w:rPr>
          <w:rFonts w:ascii="Courier New" w:hAnsi="Courier New" w:cs="Courier New"/>
          <w:bCs/>
        </w:rPr>
      </w:pPr>
      <w:r>
        <w:rPr>
          <w:rFonts w:ascii="Courier New" w:hAnsi="Courier New" w:cs="Courier New"/>
          <w:bCs/>
        </w:rPr>
        <w:t>Банк внешней торговли Российской Федерации;</w:t>
      </w:r>
    </w:p>
    <w:p w:rsidR="00EE2429" w:rsidRDefault="00EE2429">
      <w:pPr>
        <w:numPr>
          <w:ilvl w:val="0"/>
          <w:numId w:val="3"/>
        </w:numPr>
        <w:tabs>
          <w:tab w:val="clear" w:pos="360"/>
          <w:tab w:val="num" w:pos="720"/>
        </w:tabs>
        <w:ind w:left="720"/>
        <w:jc w:val="both"/>
        <w:outlineLvl w:val="0"/>
        <w:rPr>
          <w:rFonts w:ascii="Courier New" w:hAnsi="Courier New" w:cs="Courier New"/>
          <w:bCs/>
        </w:rPr>
      </w:pPr>
      <w:r>
        <w:rPr>
          <w:rFonts w:ascii="Courier New" w:hAnsi="Courier New" w:cs="Courier New"/>
          <w:bCs/>
        </w:rPr>
        <w:t>Сберегательный банк Российской Федерации;</w:t>
      </w:r>
    </w:p>
    <w:p w:rsidR="00EE2429" w:rsidRDefault="00EE2429">
      <w:pPr>
        <w:numPr>
          <w:ilvl w:val="0"/>
          <w:numId w:val="3"/>
        </w:numPr>
        <w:tabs>
          <w:tab w:val="clear" w:pos="360"/>
          <w:tab w:val="num" w:pos="720"/>
        </w:tabs>
        <w:ind w:left="720"/>
        <w:jc w:val="both"/>
        <w:outlineLvl w:val="0"/>
        <w:rPr>
          <w:rFonts w:ascii="Courier New" w:hAnsi="Courier New" w:cs="Courier New"/>
          <w:bCs/>
        </w:rPr>
      </w:pPr>
      <w:r>
        <w:rPr>
          <w:rFonts w:ascii="Courier New" w:hAnsi="Courier New" w:cs="Courier New"/>
          <w:bCs/>
        </w:rPr>
        <w:t>специальные банки (банки развития), созданные в порядке и на условиях, предусмотренных соответствующими законодательными актами Российской Федерации для финансирования отдельных целевых республиканских (Российской Федерации), региональных и иных программ;</w:t>
      </w:r>
    </w:p>
    <w:p w:rsidR="00EE2429" w:rsidRDefault="00EE2429">
      <w:pPr>
        <w:numPr>
          <w:ilvl w:val="0"/>
          <w:numId w:val="3"/>
        </w:numPr>
        <w:tabs>
          <w:tab w:val="clear" w:pos="360"/>
          <w:tab w:val="num" w:pos="720"/>
        </w:tabs>
        <w:ind w:left="720"/>
        <w:jc w:val="both"/>
        <w:outlineLvl w:val="0"/>
        <w:rPr>
          <w:rFonts w:ascii="Courier New" w:hAnsi="Courier New" w:cs="Courier New"/>
          <w:bCs/>
        </w:rPr>
      </w:pPr>
      <w:r>
        <w:rPr>
          <w:rFonts w:ascii="Courier New" w:hAnsi="Courier New" w:cs="Courier New"/>
          <w:bCs/>
        </w:rPr>
        <w:t>банки с участием иностранного капитала, иностранные банки и филиалы  банков-нерезидентов, получившие лицензию Центрального банка Российской Федерации;</w:t>
      </w:r>
    </w:p>
    <w:p w:rsidR="00EE2429" w:rsidRDefault="00EE2429">
      <w:pPr>
        <w:numPr>
          <w:ilvl w:val="0"/>
          <w:numId w:val="3"/>
        </w:numPr>
        <w:tabs>
          <w:tab w:val="clear" w:pos="360"/>
          <w:tab w:val="num" w:pos="720"/>
        </w:tabs>
        <w:ind w:left="720"/>
        <w:jc w:val="both"/>
        <w:outlineLvl w:val="0"/>
        <w:rPr>
          <w:rFonts w:ascii="Courier New" w:hAnsi="Courier New" w:cs="Courier New"/>
          <w:bCs/>
        </w:rPr>
      </w:pPr>
      <w:r>
        <w:rPr>
          <w:rFonts w:ascii="Courier New" w:hAnsi="Courier New" w:cs="Courier New"/>
          <w:bCs/>
        </w:rPr>
        <w:t>Центральный банк Российской Федерации и его учреждения не являются плательщиками налога.</w:t>
      </w:r>
    </w:p>
    <w:p w:rsidR="00EE2429" w:rsidRDefault="00EE2429">
      <w:pPr>
        <w:ind w:firstLine="720"/>
        <w:jc w:val="both"/>
        <w:rPr>
          <w:rFonts w:ascii="Courier New" w:hAnsi="Courier New" w:cs="Courier New"/>
          <w:bCs/>
        </w:rPr>
      </w:pPr>
    </w:p>
    <w:p w:rsidR="00EE2429" w:rsidRDefault="00EE2429">
      <w:pPr>
        <w:jc w:val="both"/>
        <w:rPr>
          <w:rFonts w:ascii="Courier New" w:hAnsi="Courier New" w:cs="Courier New"/>
          <w:bCs/>
          <w:u w:val="single"/>
        </w:rPr>
      </w:pPr>
      <w:r>
        <w:rPr>
          <w:rFonts w:ascii="Courier New" w:hAnsi="Courier New" w:cs="Courier New"/>
          <w:bCs/>
        </w:rPr>
        <w:t xml:space="preserve">  1.1 </w:t>
      </w:r>
      <w:r>
        <w:rPr>
          <w:rFonts w:ascii="Courier New" w:hAnsi="Courier New" w:cs="Courier New"/>
          <w:bCs/>
          <w:u w:val="single"/>
        </w:rPr>
        <w:t>Объект налогообложения:</w:t>
      </w:r>
    </w:p>
    <w:p w:rsidR="00EE2429" w:rsidRDefault="00EE2429">
      <w:pPr>
        <w:ind w:firstLine="720"/>
        <w:jc w:val="both"/>
        <w:rPr>
          <w:rFonts w:ascii="Courier New" w:hAnsi="Courier New" w:cs="Courier New"/>
          <w:bCs/>
        </w:rPr>
      </w:pPr>
      <w:r>
        <w:rPr>
          <w:rFonts w:ascii="Courier New" w:hAnsi="Courier New" w:cs="Courier New"/>
          <w:bCs/>
        </w:rPr>
        <w:t>1. Объектом  налогообложения в соответствии с Законом являются доходы банка без учета полученного в установленном порядке налога на добавленную стоимость, включая:</w:t>
      </w:r>
    </w:p>
    <w:p w:rsidR="00EE2429" w:rsidRDefault="00EE2429">
      <w:pPr>
        <w:ind w:firstLine="720"/>
        <w:jc w:val="both"/>
        <w:rPr>
          <w:rFonts w:ascii="Courier New" w:hAnsi="Courier New" w:cs="Courier New"/>
          <w:bCs/>
        </w:rPr>
      </w:pPr>
      <w:r>
        <w:rPr>
          <w:rFonts w:ascii="Courier New" w:hAnsi="Courier New" w:cs="Courier New"/>
          <w:bCs/>
        </w:rPr>
        <w:t>а) начисленные и полученные проценты по ссудам;</w:t>
      </w:r>
    </w:p>
    <w:p w:rsidR="00EE2429" w:rsidRDefault="00EE2429">
      <w:pPr>
        <w:ind w:firstLine="720"/>
        <w:jc w:val="both"/>
        <w:rPr>
          <w:rFonts w:ascii="Courier New" w:hAnsi="Courier New" w:cs="Courier New"/>
          <w:bCs/>
        </w:rPr>
      </w:pPr>
      <w:r>
        <w:rPr>
          <w:rFonts w:ascii="Courier New" w:hAnsi="Courier New" w:cs="Courier New"/>
          <w:bCs/>
        </w:rPr>
        <w:t>б) полученную плату за кредитные ресурсы;</w:t>
      </w:r>
    </w:p>
    <w:p w:rsidR="00EE2429" w:rsidRDefault="00EE2429">
      <w:pPr>
        <w:ind w:firstLine="720"/>
        <w:jc w:val="both"/>
        <w:rPr>
          <w:rFonts w:ascii="Courier New" w:hAnsi="Courier New" w:cs="Courier New"/>
          <w:bCs/>
        </w:rPr>
      </w:pPr>
      <w:r>
        <w:rPr>
          <w:rFonts w:ascii="Courier New" w:hAnsi="Courier New" w:cs="Courier New"/>
          <w:bCs/>
        </w:rPr>
        <w:t>в) комиссионные и иные сборы по аккредитивным, инкассовым, переводным и другим банковским операциям;</w:t>
      </w:r>
    </w:p>
    <w:p w:rsidR="00EE2429" w:rsidRDefault="00EE2429">
      <w:pPr>
        <w:ind w:firstLine="720"/>
        <w:jc w:val="both"/>
        <w:rPr>
          <w:rFonts w:ascii="Courier New" w:hAnsi="Courier New" w:cs="Courier New"/>
        </w:rPr>
      </w:pPr>
      <w:r>
        <w:rPr>
          <w:rFonts w:ascii="Courier New" w:hAnsi="Courier New" w:cs="Courier New"/>
          <w:bCs/>
        </w:rPr>
        <w:t xml:space="preserve">г) комиссионные и иные сборы </w:t>
      </w:r>
      <w:r>
        <w:rPr>
          <w:rFonts w:ascii="Courier New" w:hAnsi="Courier New" w:cs="Courier New"/>
        </w:rPr>
        <w:t>по гарантийным операциям;</w:t>
      </w:r>
    </w:p>
    <w:p w:rsidR="00EE2429" w:rsidRDefault="00EE2429">
      <w:pPr>
        <w:ind w:firstLine="720"/>
        <w:jc w:val="both"/>
        <w:rPr>
          <w:rFonts w:ascii="Courier New" w:hAnsi="Courier New" w:cs="Courier New"/>
        </w:rPr>
      </w:pPr>
      <w:r>
        <w:rPr>
          <w:rFonts w:ascii="Courier New" w:hAnsi="Courier New" w:cs="Courier New"/>
        </w:rPr>
        <w:t>д) комиссионные и иные сборы за услуги по корреспондентским отношениям и услуги, оказанные предприятиям, организациям, банкам и другим учреждениям;</w:t>
      </w:r>
    </w:p>
    <w:p w:rsidR="00EE2429" w:rsidRDefault="00EE2429">
      <w:pPr>
        <w:ind w:firstLine="720"/>
        <w:jc w:val="both"/>
        <w:rPr>
          <w:rFonts w:ascii="Courier New" w:hAnsi="Courier New" w:cs="Courier New"/>
        </w:rPr>
      </w:pPr>
      <w:r>
        <w:rPr>
          <w:rFonts w:ascii="Courier New" w:hAnsi="Courier New" w:cs="Courier New"/>
        </w:rPr>
        <w:t>е) от валютных операций;</w:t>
      </w:r>
    </w:p>
    <w:p w:rsidR="00EE2429" w:rsidRDefault="00EE2429">
      <w:pPr>
        <w:ind w:firstLine="720"/>
        <w:jc w:val="both"/>
        <w:rPr>
          <w:rFonts w:ascii="Courier New" w:hAnsi="Courier New" w:cs="Courier New"/>
        </w:rPr>
      </w:pPr>
      <w:r>
        <w:rPr>
          <w:rFonts w:ascii="Courier New" w:hAnsi="Courier New" w:cs="Courier New"/>
        </w:rPr>
        <w:t>ж) от лизинговых операций;</w:t>
      </w:r>
    </w:p>
    <w:p w:rsidR="00EE2429" w:rsidRDefault="00EE2429">
      <w:pPr>
        <w:ind w:firstLine="720"/>
        <w:jc w:val="both"/>
        <w:rPr>
          <w:rFonts w:ascii="Courier New" w:hAnsi="Courier New" w:cs="Courier New"/>
        </w:rPr>
      </w:pPr>
      <w:r>
        <w:rPr>
          <w:rFonts w:ascii="Courier New" w:hAnsi="Courier New" w:cs="Courier New"/>
        </w:rPr>
        <w:t>з) от факторинговых операций;</w:t>
      </w:r>
    </w:p>
    <w:p w:rsidR="00EE2429" w:rsidRDefault="00EE2429">
      <w:pPr>
        <w:ind w:firstLine="720"/>
        <w:jc w:val="both"/>
        <w:rPr>
          <w:rFonts w:ascii="Courier New" w:hAnsi="Courier New" w:cs="Courier New"/>
        </w:rPr>
      </w:pPr>
      <w:r>
        <w:rPr>
          <w:rFonts w:ascii="Courier New" w:hAnsi="Courier New" w:cs="Courier New"/>
        </w:rPr>
        <w:t>и) от приобретенных или арендуемых брокерских мест на биржах;</w:t>
      </w:r>
    </w:p>
    <w:p w:rsidR="00EE2429" w:rsidRDefault="00EE2429">
      <w:pPr>
        <w:ind w:firstLine="720"/>
        <w:jc w:val="both"/>
        <w:rPr>
          <w:rFonts w:ascii="Courier New" w:hAnsi="Courier New" w:cs="Courier New"/>
        </w:rPr>
      </w:pPr>
      <w:r>
        <w:rPr>
          <w:rFonts w:ascii="Courier New" w:hAnsi="Courier New" w:cs="Courier New"/>
        </w:rPr>
        <w:t>к) платежи клиентов по возмещению почтовых, телеграфных и иных расходов банка;</w:t>
      </w:r>
    </w:p>
    <w:p w:rsidR="00EE2429" w:rsidRDefault="00EE2429">
      <w:pPr>
        <w:ind w:firstLine="720"/>
        <w:jc w:val="both"/>
        <w:rPr>
          <w:rFonts w:ascii="Courier New" w:hAnsi="Courier New" w:cs="Courier New"/>
        </w:rPr>
      </w:pPr>
      <w:r>
        <w:rPr>
          <w:rFonts w:ascii="Courier New" w:hAnsi="Courier New" w:cs="Courier New"/>
        </w:rPr>
        <w:t>л) проценты и комиссионные сборы, полученные за прошлые (по отношению к отчетному) годы, и востребованные проценты и комиссионные сборы,  излишне уплаченные банком клиентам в прошлые (по отношению к отчетному) годы;</w:t>
      </w:r>
    </w:p>
    <w:p w:rsidR="00EE2429" w:rsidRDefault="00EE2429">
      <w:pPr>
        <w:ind w:firstLine="720"/>
        <w:jc w:val="both"/>
        <w:rPr>
          <w:rFonts w:ascii="Courier New" w:hAnsi="Courier New" w:cs="Courier New"/>
        </w:rPr>
      </w:pPr>
      <w:r>
        <w:rPr>
          <w:rFonts w:ascii="Courier New" w:hAnsi="Courier New" w:cs="Courier New"/>
        </w:rPr>
        <w:t>м) плату за услуги, оказанные населению;</w:t>
      </w:r>
    </w:p>
    <w:p w:rsidR="00EE2429" w:rsidRDefault="00EE2429">
      <w:pPr>
        <w:ind w:firstLine="720"/>
        <w:jc w:val="both"/>
        <w:rPr>
          <w:rFonts w:ascii="Courier New" w:hAnsi="Courier New" w:cs="Courier New"/>
        </w:rPr>
      </w:pPr>
      <w:r>
        <w:rPr>
          <w:rFonts w:ascii="Courier New" w:hAnsi="Courier New" w:cs="Courier New"/>
        </w:rPr>
        <w:t>н) платежи за инкассацию;</w:t>
      </w:r>
    </w:p>
    <w:p w:rsidR="00EE2429" w:rsidRDefault="00EE2429">
      <w:pPr>
        <w:ind w:firstLine="720"/>
        <w:jc w:val="both"/>
        <w:rPr>
          <w:rFonts w:ascii="Courier New" w:hAnsi="Courier New" w:cs="Courier New"/>
        </w:rPr>
      </w:pPr>
      <w:r>
        <w:rPr>
          <w:rFonts w:ascii="Courier New" w:hAnsi="Courier New" w:cs="Courier New"/>
        </w:rPr>
        <w:t>о) средства, поступившие от реализации основных фондов и иного имущества банка, определяемые в виде разницы между продажной ценой и первоначальной или остаточной стоимостью этих фондов и иного имущества, увеличенные на индекс инфляции в порядке, устанавливаемом Верховным Советом Российской Федерации. При этом первоначальная стоимость имущества не применяется к основным фондам, нематериальным активам, малоценным и быстроизнашивающимся предметам.</w:t>
      </w:r>
    </w:p>
    <w:p w:rsidR="00EE2429" w:rsidRDefault="00EE2429">
      <w:pPr>
        <w:ind w:firstLine="720"/>
        <w:jc w:val="both"/>
        <w:rPr>
          <w:rFonts w:ascii="Courier New" w:hAnsi="Courier New" w:cs="Courier New"/>
        </w:rPr>
      </w:pPr>
      <w:r>
        <w:rPr>
          <w:rFonts w:ascii="Courier New" w:hAnsi="Courier New" w:cs="Courier New"/>
        </w:rPr>
        <w:t>При реализации  или безвозмездной передаче другим юридическим и физическим лицам основных фондов, оборудования, патентов, лицензий и иных материальных и нематериальных активов, приобретенных банком, получившим в связи с этим налоговый кредит или льготы по  налогу, предусмотренные  законодательством, налогооблагаемый  доход увеличивается на сумму реализованных или переданных материальных и нематериальных активов в размере не менее их первоначальной стоимости, увеличиваемой в соответствии с индексом инфляции, определяемым Верховным Советом Российской Федерации.</w:t>
      </w:r>
    </w:p>
    <w:p w:rsidR="00EE2429" w:rsidRDefault="00EE2429">
      <w:pPr>
        <w:ind w:firstLine="720"/>
        <w:jc w:val="both"/>
        <w:rPr>
          <w:rFonts w:ascii="Courier New" w:hAnsi="Courier New" w:cs="Courier New"/>
        </w:rPr>
      </w:pPr>
      <w:r>
        <w:rPr>
          <w:rFonts w:ascii="Courier New" w:hAnsi="Courier New" w:cs="Courier New"/>
        </w:rPr>
        <w:t>п) денежные средства, материальные и нематериальные активы, товары народного потребления и иное имущество, передаваемое банку как безвозмездно, так и в счет погашения процентов за полученный кредит;</w:t>
      </w:r>
    </w:p>
    <w:p w:rsidR="00EE2429" w:rsidRDefault="00EE2429">
      <w:pPr>
        <w:ind w:firstLine="720"/>
        <w:jc w:val="both"/>
        <w:rPr>
          <w:rFonts w:ascii="Courier New" w:hAnsi="Courier New" w:cs="Courier New"/>
        </w:rPr>
      </w:pPr>
      <w:r>
        <w:rPr>
          <w:rFonts w:ascii="Courier New" w:hAnsi="Courier New" w:cs="Courier New"/>
        </w:rPr>
        <w:t>р) прочие доходы, полученные в результате осуществления финансово-кредитных операций и сделок, иной хозяйственной деятельности, а также взысканные (полученные) банком пени, штрафы и неустойки.</w:t>
      </w:r>
    </w:p>
    <w:p w:rsidR="00EE2429" w:rsidRDefault="00EE2429">
      <w:pPr>
        <w:ind w:firstLine="720"/>
        <w:jc w:val="both"/>
        <w:rPr>
          <w:rFonts w:ascii="Courier New" w:hAnsi="Courier New" w:cs="Courier New"/>
        </w:rPr>
      </w:pPr>
      <w:r>
        <w:rPr>
          <w:rFonts w:ascii="Courier New" w:hAnsi="Courier New" w:cs="Courier New"/>
        </w:rPr>
        <w:t>2. Доходы, полученные банками в иностранной валюте, подлежат налогообложению вместе с доходами, полученными в рублях. При этом доходы, полученные в иностранной валюте, пересчитываются в рубли по курсу Центрального банка Российской Федерации, действовавшему на день получения дохода.</w:t>
      </w:r>
    </w:p>
    <w:p w:rsidR="00EE2429" w:rsidRDefault="00EE2429">
      <w:pPr>
        <w:ind w:firstLine="720"/>
        <w:jc w:val="both"/>
        <w:rPr>
          <w:rFonts w:ascii="Courier New" w:hAnsi="Courier New" w:cs="Courier New"/>
        </w:rPr>
      </w:pPr>
      <w:r>
        <w:rPr>
          <w:rFonts w:ascii="Courier New" w:hAnsi="Courier New" w:cs="Courier New"/>
        </w:rPr>
        <w:t>3. Налогообложение прибыли, получаемой при превышении установленной маржи коммерческими банками за счет использования кредитов Центрального банка Российской Федерации, производится по прогрессивной шкале в соответствии с положением, утверждаемым Верховным Советом Российской Федерации.</w:t>
      </w:r>
    </w:p>
    <w:p w:rsidR="00EE2429" w:rsidRDefault="00EE2429">
      <w:pPr>
        <w:ind w:firstLine="720"/>
        <w:jc w:val="both"/>
        <w:rPr>
          <w:rFonts w:ascii="Courier New" w:hAnsi="Courier New" w:cs="Courier New"/>
        </w:rPr>
      </w:pPr>
    </w:p>
    <w:p w:rsidR="00EE2429" w:rsidRDefault="00EE2429">
      <w:pPr>
        <w:jc w:val="both"/>
        <w:rPr>
          <w:rFonts w:ascii="Courier New" w:hAnsi="Courier New" w:cs="Courier New"/>
          <w:u w:val="single"/>
        </w:rPr>
      </w:pPr>
      <w:r>
        <w:rPr>
          <w:rFonts w:ascii="Courier New" w:hAnsi="Courier New" w:cs="Courier New"/>
        </w:rPr>
        <w:t xml:space="preserve">  1.2. </w:t>
      </w:r>
      <w:r>
        <w:rPr>
          <w:rFonts w:ascii="Courier New" w:hAnsi="Courier New" w:cs="Courier New"/>
          <w:u w:val="single"/>
        </w:rPr>
        <w:t>Расчет налогооблагаемой базы:</w:t>
      </w:r>
    </w:p>
    <w:p w:rsidR="00EE2429" w:rsidRDefault="00EE2429">
      <w:pPr>
        <w:ind w:firstLine="720"/>
        <w:jc w:val="both"/>
        <w:rPr>
          <w:rFonts w:ascii="Courier New" w:hAnsi="Courier New" w:cs="Courier New"/>
        </w:rPr>
      </w:pPr>
      <w:r>
        <w:rPr>
          <w:rFonts w:ascii="Courier New" w:hAnsi="Courier New" w:cs="Courier New"/>
        </w:rPr>
        <w:t>Банк исчисляет налогооблагаемую базу путем уменьшения суммы доходов на сумму следующих расходов:</w:t>
      </w:r>
    </w:p>
    <w:p w:rsidR="00EE2429" w:rsidRDefault="00EE2429">
      <w:pPr>
        <w:ind w:firstLine="720"/>
        <w:jc w:val="both"/>
        <w:rPr>
          <w:rFonts w:ascii="Courier New" w:hAnsi="Courier New" w:cs="Courier New"/>
        </w:rPr>
      </w:pPr>
      <w:r>
        <w:rPr>
          <w:rFonts w:ascii="Courier New" w:hAnsi="Courier New" w:cs="Courier New"/>
        </w:rPr>
        <w:t>а) сумм, причитающихся к уплате в бюджет в виде налога на имущество предприятия, земельного и целевых налогов на покрытие затрат на финансирование строительства, реконструкцию, ремонт и содержание автомобильных дорог общего пользования;</w:t>
      </w:r>
    </w:p>
    <w:p w:rsidR="00EE2429" w:rsidRDefault="00EE2429">
      <w:pPr>
        <w:ind w:firstLine="720"/>
        <w:jc w:val="both"/>
        <w:rPr>
          <w:rFonts w:ascii="Courier New" w:hAnsi="Courier New" w:cs="Courier New"/>
        </w:rPr>
      </w:pPr>
      <w:r>
        <w:rPr>
          <w:rFonts w:ascii="Courier New" w:hAnsi="Courier New" w:cs="Courier New"/>
        </w:rPr>
        <w:t>б) платежей, вносимых в Пенсионный фонд Российской Федерации, Фонд обязательного медицинского страхования Российской Федерации, Фонд социального страхования Российской Федерации, Государственный фонд занятости населения Российской Федерации, а также других обязательных платежей;</w:t>
      </w:r>
    </w:p>
    <w:p w:rsidR="00EE2429" w:rsidRDefault="00EE2429">
      <w:pPr>
        <w:ind w:firstLine="720"/>
        <w:jc w:val="both"/>
        <w:rPr>
          <w:rFonts w:ascii="Courier New" w:hAnsi="Courier New" w:cs="Courier New"/>
        </w:rPr>
      </w:pPr>
      <w:r>
        <w:rPr>
          <w:rFonts w:ascii="Courier New" w:hAnsi="Courier New" w:cs="Courier New"/>
        </w:rPr>
        <w:t>в) начисленных и уплаченных процентов в пределах ставки, устанавливаемой Центральным банком Российской Федерации, увеличенной на 3 пункта;</w:t>
      </w:r>
    </w:p>
    <w:p w:rsidR="00EE2429" w:rsidRDefault="00EE2429">
      <w:pPr>
        <w:ind w:firstLine="720"/>
        <w:jc w:val="both"/>
        <w:rPr>
          <w:rFonts w:ascii="Courier New" w:hAnsi="Courier New" w:cs="Courier New"/>
        </w:rPr>
      </w:pPr>
      <w:r>
        <w:rPr>
          <w:rFonts w:ascii="Courier New" w:hAnsi="Courier New" w:cs="Courier New"/>
        </w:rPr>
        <w:t>г) уплаченных комиссионных сборов за услуги и корреспондентские отношения в пределах, устанавливаемых Центральным банком Российской Федерации;</w:t>
      </w:r>
    </w:p>
    <w:p w:rsidR="00EE2429" w:rsidRDefault="00EE2429">
      <w:pPr>
        <w:ind w:firstLine="720"/>
        <w:jc w:val="both"/>
        <w:rPr>
          <w:rFonts w:ascii="Courier New" w:hAnsi="Courier New" w:cs="Courier New"/>
        </w:rPr>
      </w:pPr>
      <w:r>
        <w:rPr>
          <w:rFonts w:ascii="Courier New" w:hAnsi="Courier New" w:cs="Courier New"/>
        </w:rPr>
        <w:t>д) связанных с осуществлением валютных операций;</w:t>
      </w:r>
    </w:p>
    <w:p w:rsidR="00EE2429" w:rsidRDefault="00EE2429">
      <w:pPr>
        <w:ind w:firstLine="720"/>
        <w:jc w:val="both"/>
        <w:rPr>
          <w:rFonts w:ascii="Courier New" w:hAnsi="Courier New" w:cs="Courier New"/>
        </w:rPr>
      </w:pPr>
      <w:r>
        <w:rPr>
          <w:rFonts w:ascii="Courier New" w:hAnsi="Courier New" w:cs="Courier New"/>
        </w:rPr>
        <w:t>е) процентов и комиссионных сборов, уплаченных в счет прошлых</w:t>
      </w:r>
    </w:p>
    <w:p w:rsidR="00EE2429" w:rsidRDefault="00EE2429">
      <w:pPr>
        <w:ind w:firstLine="720"/>
        <w:jc w:val="both"/>
        <w:rPr>
          <w:rFonts w:ascii="Courier New" w:hAnsi="Courier New" w:cs="Courier New"/>
        </w:rPr>
      </w:pPr>
      <w:r>
        <w:rPr>
          <w:rFonts w:ascii="Courier New" w:hAnsi="Courier New" w:cs="Courier New"/>
        </w:rPr>
        <w:t>(по отношению к отчетному году) лет, и возврата процентов и комиссионных сборов, излишне взысканных с клиентов за прошлые (по отношению к отчетному) годы;</w:t>
      </w:r>
    </w:p>
    <w:p w:rsidR="00EE2429" w:rsidRDefault="00EE2429">
      <w:pPr>
        <w:ind w:firstLine="720"/>
        <w:jc w:val="both"/>
        <w:rPr>
          <w:rFonts w:ascii="Courier New" w:hAnsi="Courier New" w:cs="Courier New"/>
        </w:rPr>
      </w:pPr>
      <w:r>
        <w:rPr>
          <w:rFonts w:ascii="Courier New" w:hAnsi="Courier New" w:cs="Courier New"/>
        </w:rPr>
        <w:t>ж) амортизационных отчислений на полное восстановление основных фондов, начисленных в течение налогооблагаемого периода, по нормам, утверждаемым в установленном порядке;</w:t>
      </w:r>
    </w:p>
    <w:p w:rsidR="00EE2429" w:rsidRDefault="00EE2429">
      <w:pPr>
        <w:ind w:firstLine="720"/>
        <w:jc w:val="both"/>
        <w:rPr>
          <w:rFonts w:ascii="Courier New" w:hAnsi="Courier New" w:cs="Courier New"/>
        </w:rPr>
      </w:pPr>
      <w:r>
        <w:rPr>
          <w:rFonts w:ascii="Courier New" w:hAnsi="Courier New" w:cs="Courier New"/>
        </w:rPr>
        <w:t>з) суммы износа нематериальных активов (в том числе стоимость брокерского места), начисленной по нормам, рассчитанным банком исходя из первоначальной стоимости и срока их полезного использования, но не более срока деятельности банка. Норма износа нематериальных активов, срок полезного использования которых невозможно</w:t>
      </w:r>
    </w:p>
    <w:p w:rsidR="00EE2429" w:rsidRDefault="00EE2429">
      <w:pPr>
        <w:ind w:firstLine="720"/>
        <w:jc w:val="both"/>
        <w:rPr>
          <w:rFonts w:ascii="Courier New" w:hAnsi="Courier New" w:cs="Courier New"/>
        </w:rPr>
      </w:pPr>
      <w:r>
        <w:rPr>
          <w:rFonts w:ascii="Courier New" w:hAnsi="Courier New" w:cs="Courier New"/>
        </w:rPr>
        <w:t>определить, устанавливается в расчете на десять лет, но не превышает срок деятельности банка;</w:t>
      </w:r>
    </w:p>
    <w:p w:rsidR="00EE2429" w:rsidRDefault="00EE2429">
      <w:pPr>
        <w:ind w:firstLine="720"/>
        <w:jc w:val="both"/>
        <w:rPr>
          <w:rFonts w:ascii="Courier New" w:hAnsi="Courier New" w:cs="Courier New"/>
        </w:rPr>
      </w:pPr>
      <w:r>
        <w:rPr>
          <w:rFonts w:ascii="Courier New" w:hAnsi="Courier New" w:cs="Courier New"/>
        </w:rPr>
        <w:t>и) по аренде основных фондов в размере амортизационных отчислений на их полное восстановление, а нематериальных активов (в том числе брокерского места) - суммы начисленного износа. Банки с участием иностранного капитала, иностранные банки и филиалы банков-нерезидентов производят амортизационные отчисления на полное восстановление основных фондов и начисление суммы износа нематериальных активов по нормативам и в порядке, установленным для российских предприятий, если иное не предусмотрено международными договорами Российской Федерации и бывшего СССР, межреспубликанскими договорами Российской Федерации и действующим законодательством;</w:t>
      </w:r>
    </w:p>
    <w:p w:rsidR="00EE2429" w:rsidRDefault="00EE2429">
      <w:pPr>
        <w:ind w:firstLine="720"/>
        <w:jc w:val="both"/>
        <w:rPr>
          <w:rFonts w:ascii="Courier New" w:hAnsi="Courier New" w:cs="Courier New"/>
        </w:rPr>
      </w:pPr>
      <w:r>
        <w:rPr>
          <w:rFonts w:ascii="Courier New" w:hAnsi="Courier New" w:cs="Courier New"/>
        </w:rPr>
        <w:t>к) на рекламу, оплату консультационных, информационных и аудиторских услуг;</w:t>
      </w:r>
    </w:p>
    <w:p w:rsidR="00EE2429" w:rsidRDefault="00EE2429">
      <w:pPr>
        <w:ind w:firstLine="720"/>
        <w:jc w:val="both"/>
        <w:rPr>
          <w:rFonts w:ascii="Courier New" w:hAnsi="Courier New" w:cs="Courier New"/>
        </w:rPr>
      </w:pPr>
      <w:r>
        <w:rPr>
          <w:rFonts w:ascii="Courier New" w:hAnsi="Courier New" w:cs="Courier New"/>
        </w:rPr>
        <w:t>л) на эксплуатацию зданий, оборудования и инвентаря, принадлежащих и арендованных банку, в том числе плата за отопление, освещение, пожарную и сторожевую охрану, на ремонт. При этом расходы на оплату труда не учитываются;</w:t>
      </w:r>
    </w:p>
    <w:p w:rsidR="00EE2429" w:rsidRDefault="00EE2429">
      <w:pPr>
        <w:ind w:firstLine="720"/>
        <w:jc w:val="both"/>
        <w:rPr>
          <w:rFonts w:ascii="Courier New" w:hAnsi="Courier New" w:cs="Courier New"/>
        </w:rPr>
      </w:pPr>
      <w:r>
        <w:rPr>
          <w:rFonts w:ascii="Courier New" w:hAnsi="Courier New" w:cs="Courier New"/>
        </w:rPr>
        <w:t>м) на служебные командировки, представительские расходы в пределах норм, устанавливаемых Правительством Российской Федерации;</w:t>
      </w:r>
    </w:p>
    <w:p w:rsidR="00EE2429" w:rsidRDefault="00EE2429">
      <w:pPr>
        <w:ind w:firstLine="720"/>
        <w:jc w:val="both"/>
        <w:rPr>
          <w:rFonts w:ascii="Courier New" w:hAnsi="Courier New" w:cs="Courier New"/>
        </w:rPr>
      </w:pPr>
      <w:r>
        <w:rPr>
          <w:rFonts w:ascii="Courier New" w:hAnsi="Courier New" w:cs="Courier New"/>
        </w:rPr>
        <w:t>н) операционных, канцелярских, почтово-телеграфных, по перевозке и хранению денежных средств и ценностей, а также платы другим банкам за расчетно-кассовое обслуживание и услуги вычислительных центров.</w:t>
      </w:r>
    </w:p>
    <w:p w:rsidR="00EE2429" w:rsidRDefault="00EE2429">
      <w:pPr>
        <w:ind w:firstLine="720"/>
        <w:jc w:val="both"/>
        <w:rPr>
          <w:rFonts w:ascii="Courier New" w:hAnsi="Courier New" w:cs="Courier New"/>
        </w:rPr>
      </w:pPr>
      <w:r>
        <w:rPr>
          <w:rFonts w:ascii="Courier New" w:hAnsi="Courier New" w:cs="Courier New"/>
        </w:rPr>
        <w:t>Уточнение состава доходов и расходов, учитываемых при исчислении налогооблагаемой базы, производится Правительством Российской Федерации.</w:t>
      </w:r>
    </w:p>
    <w:p w:rsidR="00EE2429" w:rsidRDefault="00EE2429">
      <w:pPr>
        <w:ind w:firstLine="720"/>
        <w:jc w:val="both"/>
        <w:rPr>
          <w:rFonts w:ascii="Courier New" w:hAnsi="Courier New" w:cs="Courier New"/>
        </w:rPr>
      </w:pPr>
    </w:p>
    <w:p w:rsidR="00EE2429" w:rsidRDefault="00EE2429">
      <w:pPr>
        <w:jc w:val="both"/>
        <w:rPr>
          <w:rFonts w:ascii="Courier New" w:hAnsi="Courier New" w:cs="Courier New"/>
          <w:u w:val="single"/>
        </w:rPr>
      </w:pPr>
      <w:r>
        <w:rPr>
          <w:rFonts w:ascii="Courier New" w:hAnsi="Courier New" w:cs="Courier New"/>
        </w:rPr>
        <w:t xml:space="preserve">  1.3 </w:t>
      </w:r>
      <w:r>
        <w:rPr>
          <w:rFonts w:ascii="Courier New" w:hAnsi="Courier New" w:cs="Courier New"/>
          <w:u w:val="single"/>
        </w:rPr>
        <w:t>Льготы по налогу:</w:t>
      </w:r>
    </w:p>
    <w:p w:rsidR="00EE2429" w:rsidRDefault="00EE2429">
      <w:pPr>
        <w:ind w:firstLine="720"/>
        <w:jc w:val="both"/>
        <w:rPr>
          <w:rFonts w:ascii="Courier New" w:hAnsi="Courier New" w:cs="Courier New"/>
        </w:rPr>
      </w:pPr>
      <w:r>
        <w:rPr>
          <w:rFonts w:ascii="Courier New" w:hAnsi="Courier New" w:cs="Courier New"/>
        </w:rPr>
        <w:t>1. От налогообложения освобождаются следующие доходы:</w:t>
      </w:r>
    </w:p>
    <w:p w:rsidR="00EE2429" w:rsidRDefault="00EE2429">
      <w:pPr>
        <w:ind w:firstLine="720"/>
        <w:jc w:val="both"/>
        <w:rPr>
          <w:rFonts w:ascii="Courier New" w:hAnsi="Courier New" w:cs="Courier New"/>
        </w:rPr>
      </w:pPr>
      <w:r>
        <w:rPr>
          <w:rFonts w:ascii="Courier New" w:hAnsi="Courier New" w:cs="Courier New"/>
        </w:rPr>
        <w:t>а) проценты по кредитам, предоставленным Правительству Российской Федерации, Центральному банку Российской Федерации и Банку внешней торговли Российской Федерации или под их гарантии;</w:t>
      </w:r>
    </w:p>
    <w:p w:rsidR="00EE2429" w:rsidRDefault="00EE2429">
      <w:pPr>
        <w:ind w:firstLine="720"/>
        <w:jc w:val="both"/>
        <w:rPr>
          <w:rFonts w:ascii="Courier New" w:hAnsi="Courier New" w:cs="Courier New"/>
        </w:rPr>
      </w:pPr>
      <w:r>
        <w:rPr>
          <w:rFonts w:ascii="Courier New" w:hAnsi="Courier New" w:cs="Courier New"/>
        </w:rPr>
        <w:t>б) проценты и дивиденды, полученные по государственным облигациям и иным государственным ценным бумагам, а также доходы, полученные за работу по размещению государственных ценных бумаг.</w:t>
      </w:r>
    </w:p>
    <w:p w:rsidR="00EE2429" w:rsidRDefault="00EE2429">
      <w:pPr>
        <w:ind w:firstLine="720"/>
        <w:jc w:val="both"/>
        <w:rPr>
          <w:rFonts w:ascii="Courier New" w:hAnsi="Courier New" w:cs="Courier New"/>
        </w:rPr>
      </w:pPr>
      <w:r>
        <w:rPr>
          <w:rFonts w:ascii="Courier New" w:hAnsi="Courier New" w:cs="Courier New"/>
        </w:rPr>
        <w:t>2. Налогооблагаемая база уменьшается на суммы:</w:t>
      </w:r>
    </w:p>
    <w:p w:rsidR="00EE2429" w:rsidRDefault="00EE2429">
      <w:pPr>
        <w:ind w:firstLine="720"/>
        <w:jc w:val="both"/>
        <w:rPr>
          <w:rFonts w:ascii="Courier New" w:hAnsi="Courier New" w:cs="Courier New"/>
        </w:rPr>
      </w:pPr>
      <w:r>
        <w:rPr>
          <w:rFonts w:ascii="Courier New" w:hAnsi="Courier New" w:cs="Courier New"/>
        </w:rPr>
        <w:t>а) отчислений в фонд страхования депозитов в коммерческих банках, фонд страхования коммерческих банков от банкротства – по одному проценту от балансовой прибыли за квартал в каждый из перечисленных фондов;</w:t>
      </w:r>
    </w:p>
    <w:p w:rsidR="00EE2429" w:rsidRDefault="00EE2429">
      <w:pPr>
        <w:ind w:firstLine="720"/>
        <w:jc w:val="both"/>
        <w:rPr>
          <w:rFonts w:ascii="Courier New" w:hAnsi="Courier New" w:cs="Courier New"/>
        </w:rPr>
      </w:pPr>
      <w:r>
        <w:rPr>
          <w:rFonts w:ascii="Courier New" w:hAnsi="Courier New" w:cs="Courier New"/>
        </w:rPr>
        <w:t>б) затрат, осуществляемых в соответствии с утвержденными местными органами государственной власти нормативами на содержание находящихся на  балансе банков объектов здравоохранения, домов престарелых и инвалидов,  детских дошкольных учреждений,  детских лагерей отдыха, объектов культуры, спорта, учреждений образования, жилищного фонда, а также затрат банков на эти цели при их долевом участии в содержании перечисленных объектов. Затраты банков при долевом участии принимаются в пределах норм, утвержденных местными органами государственной власти,  на территориях которых находятся указанные объекты и учреждения;</w:t>
      </w:r>
    </w:p>
    <w:p w:rsidR="00EE2429" w:rsidRDefault="00EE2429">
      <w:pPr>
        <w:ind w:firstLine="720"/>
        <w:jc w:val="both"/>
        <w:rPr>
          <w:rFonts w:ascii="Courier New" w:hAnsi="Courier New" w:cs="Courier New"/>
        </w:rPr>
      </w:pPr>
      <w:r>
        <w:rPr>
          <w:rFonts w:ascii="Courier New" w:hAnsi="Courier New" w:cs="Courier New"/>
        </w:rPr>
        <w:t>в) взносов, направляемых на благотворительные цели в экологические, оздоровительные, образовательные и другие фонды (общественные объединения), общественным организациям инвалидов, домам престарелых и инвалидов, религиозным объединениям, зарегистрированным в установленном порядке, а также предприятиям, учреждениям и организациям культуры, образования, здравоохранения, социального обеспечения, физкультуры и спорта в сумме, не превышающей одного процента налогооблагаемого дохода.</w:t>
      </w:r>
    </w:p>
    <w:p w:rsidR="00EE2429" w:rsidRDefault="00EE2429">
      <w:pPr>
        <w:ind w:firstLine="720"/>
        <w:jc w:val="both"/>
        <w:rPr>
          <w:rFonts w:ascii="Courier New" w:hAnsi="Courier New" w:cs="Courier New"/>
        </w:rPr>
      </w:pPr>
      <w:r>
        <w:rPr>
          <w:rFonts w:ascii="Courier New" w:hAnsi="Courier New" w:cs="Courier New"/>
        </w:rPr>
        <w:t>Все перечисленные фонды, предприятия, учреждения и организации, получившие такие средства, по окончании отчетного года представляют в налоговый орган по месту своего нахождения отчет о поступивших суммах и их расходовании. Суммы, использованные не по назначению, изымаются в доход федерального бюджета.</w:t>
      </w:r>
    </w:p>
    <w:p w:rsidR="00EE2429" w:rsidRDefault="00EE2429">
      <w:pPr>
        <w:ind w:firstLine="720"/>
        <w:jc w:val="both"/>
        <w:rPr>
          <w:rFonts w:ascii="Courier New" w:hAnsi="Courier New" w:cs="Courier New"/>
        </w:rPr>
      </w:pPr>
      <w:r>
        <w:rPr>
          <w:rFonts w:ascii="Courier New" w:hAnsi="Courier New" w:cs="Courier New"/>
        </w:rPr>
        <w:t>г) затрат на техническое перевооружение, а также на строительство и реконструкцию объектов социальной инфраструктуры.</w:t>
      </w:r>
    </w:p>
    <w:p w:rsidR="00EE2429" w:rsidRDefault="00EE2429">
      <w:pPr>
        <w:ind w:firstLine="720"/>
        <w:jc w:val="both"/>
        <w:rPr>
          <w:rFonts w:ascii="Courier New" w:hAnsi="Courier New" w:cs="Courier New"/>
        </w:rPr>
      </w:pPr>
      <w:r>
        <w:rPr>
          <w:rFonts w:ascii="Courier New" w:hAnsi="Courier New" w:cs="Courier New"/>
        </w:rPr>
        <w:t>Эта льгота предоставляется при условии  полного использования сумм начисленного износа (амортизации) на последнюю отчетную дату.</w:t>
      </w:r>
    </w:p>
    <w:p w:rsidR="00EE2429" w:rsidRDefault="00EE2429">
      <w:pPr>
        <w:ind w:firstLine="720"/>
        <w:jc w:val="both"/>
        <w:rPr>
          <w:rFonts w:ascii="Courier New" w:hAnsi="Courier New" w:cs="Courier New"/>
        </w:rPr>
      </w:pPr>
      <w:r>
        <w:rPr>
          <w:rFonts w:ascii="Courier New" w:hAnsi="Courier New" w:cs="Courier New"/>
        </w:rPr>
        <w:t>3. Для банков, получивших в предыдущем году убыток (по данным годового бухгалтерского отчета),  часть доходов, направленных на его покрытие, освобождается от уплаты налога в течение последующих пяти лет (при условии полного использования на эти цели средств резервного и других аналогичных по назначению фондов, создание которых предусмотрено законодательством).</w:t>
      </w:r>
    </w:p>
    <w:p w:rsidR="00EE2429" w:rsidRDefault="00EE2429">
      <w:pPr>
        <w:ind w:firstLine="720"/>
        <w:jc w:val="both"/>
        <w:rPr>
          <w:rFonts w:ascii="Courier New" w:hAnsi="Courier New" w:cs="Courier New"/>
        </w:rPr>
      </w:pPr>
      <w:r>
        <w:rPr>
          <w:rFonts w:ascii="Courier New" w:hAnsi="Courier New" w:cs="Courier New"/>
        </w:rPr>
        <w:t>4. Налоговые  льготы, установленные подпунктами "б" - "г" пункта 2 и пунктом 3 настоящей статьи, не должны уменьшать фактическую сумму налога, исчисленную без учета льгот, более чем на 50 процентов.</w:t>
      </w:r>
    </w:p>
    <w:p w:rsidR="00EE2429" w:rsidRDefault="00EE2429">
      <w:pPr>
        <w:ind w:firstLine="720"/>
        <w:jc w:val="both"/>
        <w:rPr>
          <w:rFonts w:ascii="Courier New" w:hAnsi="Courier New" w:cs="Courier New"/>
        </w:rPr>
      </w:pPr>
      <w:r>
        <w:rPr>
          <w:rFonts w:ascii="Courier New" w:hAnsi="Courier New" w:cs="Courier New"/>
        </w:rPr>
        <w:t>5. Иностранный участник банка с участием иностранного капитала, имеющий в соответствии с международным договором Российской Федерации или бывшего СССР право на полное или частичное освобождение от обложения налогом дохода, полученного им в результате распределения дохода банка,  подает заявление о снижении или отмене налога в порядке, установленном Министерством финансов Российской Федерации.  В случае подачи заявления после перевода  полученного дохода за границу оно должно быть представлено в течение календарного года  со дня перевода. Заявление, поданное по истечении указанного срока, к рассмотрению не принимается.</w:t>
      </w:r>
    </w:p>
    <w:p w:rsidR="00EE2429" w:rsidRDefault="00EE2429">
      <w:pPr>
        <w:ind w:firstLine="720"/>
        <w:jc w:val="both"/>
        <w:rPr>
          <w:rFonts w:ascii="Courier New" w:hAnsi="Courier New" w:cs="Courier New"/>
        </w:rPr>
      </w:pPr>
      <w:r>
        <w:rPr>
          <w:rFonts w:ascii="Courier New" w:hAnsi="Courier New" w:cs="Courier New"/>
        </w:rPr>
        <w:t>Иностранные банки, филиалы банков-нерезидентов, имеющие в соответствии с международными договорами Российской Федерации или бывшего СССР право на полное или частичное освобождение от налога на доходы от источников в Российской Федерации, реализуют это право в соответствии с порядком, предусмотренным для иностранного участника банка с участием иностранного капитала.</w:t>
      </w:r>
    </w:p>
    <w:p w:rsidR="00EE2429" w:rsidRDefault="00EE2429">
      <w:pPr>
        <w:ind w:firstLine="720"/>
        <w:jc w:val="both"/>
        <w:rPr>
          <w:rFonts w:ascii="Courier New" w:hAnsi="Courier New" w:cs="Courier New"/>
        </w:rPr>
      </w:pPr>
    </w:p>
    <w:p w:rsidR="00EE2429" w:rsidRDefault="00EE2429">
      <w:pPr>
        <w:jc w:val="both"/>
        <w:rPr>
          <w:rFonts w:ascii="Courier New" w:hAnsi="Courier New" w:cs="Courier New"/>
          <w:u w:val="single"/>
        </w:rPr>
      </w:pPr>
      <w:r>
        <w:rPr>
          <w:rFonts w:ascii="Courier New" w:hAnsi="Courier New" w:cs="Courier New"/>
        </w:rPr>
        <w:t xml:space="preserve">  1.4 </w:t>
      </w:r>
      <w:r>
        <w:rPr>
          <w:rFonts w:ascii="Courier New" w:hAnsi="Courier New" w:cs="Courier New"/>
          <w:u w:val="single"/>
        </w:rPr>
        <w:t>Порядок исчисления налога и сроки уплаты его в бюджет:</w:t>
      </w:r>
    </w:p>
    <w:p w:rsidR="00EE2429" w:rsidRDefault="00EE2429">
      <w:pPr>
        <w:ind w:firstLine="720"/>
        <w:jc w:val="both"/>
        <w:rPr>
          <w:rFonts w:ascii="Courier New" w:hAnsi="Courier New" w:cs="Courier New"/>
        </w:rPr>
      </w:pPr>
      <w:r>
        <w:rPr>
          <w:rFonts w:ascii="Courier New" w:hAnsi="Courier New" w:cs="Courier New"/>
        </w:rPr>
        <w:t>1. Сумма налога определяется плательщиками самостоятельно исходя из величины налогооблагаемой базы с учетом предоставленных льгот по налогу и установленных ставок налога.</w:t>
      </w:r>
    </w:p>
    <w:p w:rsidR="00EE2429" w:rsidRDefault="00EE2429">
      <w:pPr>
        <w:ind w:firstLine="720"/>
        <w:jc w:val="both"/>
        <w:rPr>
          <w:rFonts w:ascii="Courier New" w:hAnsi="Courier New" w:cs="Courier New"/>
        </w:rPr>
      </w:pPr>
      <w:r>
        <w:rPr>
          <w:rFonts w:ascii="Courier New" w:hAnsi="Courier New" w:cs="Courier New"/>
        </w:rPr>
        <w:t>2. В течение квартала плательщики производят авансовые взносы налога в бюджет, исчисленные из предполагаемой суммы дохода за налогооблагаемый период.</w:t>
      </w:r>
    </w:p>
    <w:p w:rsidR="00EE2429" w:rsidRDefault="00EE2429">
      <w:pPr>
        <w:ind w:firstLine="720"/>
        <w:jc w:val="both"/>
        <w:rPr>
          <w:rFonts w:ascii="Courier New" w:hAnsi="Courier New" w:cs="Courier New"/>
        </w:rPr>
      </w:pPr>
      <w:r>
        <w:rPr>
          <w:rFonts w:ascii="Courier New" w:hAnsi="Courier New" w:cs="Courier New"/>
        </w:rPr>
        <w:t>Авансовые взносы производятся не позднее 10 и 25 числа  каждого месяца равными долями в размере одной шестой квартальной суммы налога.</w:t>
      </w:r>
    </w:p>
    <w:p w:rsidR="00EE2429" w:rsidRDefault="00EE2429">
      <w:pPr>
        <w:ind w:firstLine="720"/>
        <w:jc w:val="both"/>
        <w:rPr>
          <w:rFonts w:ascii="Courier New" w:hAnsi="Courier New" w:cs="Courier New"/>
        </w:rPr>
      </w:pPr>
      <w:r>
        <w:rPr>
          <w:rFonts w:ascii="Courier New" w:hAnsi="Courier New" w:cs="Courier New"/>
        </w:rPr>
        <w:t>Если суммы налоговых платежей незначительны, то по ходатайству плательщика налоговый орган может установить один срок уплаты в бюджет - 20 числа каждого месяца, в размере одной трети квартальной суммы налога.</w:t>
      </w:r>
    </w:p>
    <w:p w:rsidR="00EE2429" w:rsidRDefault="00EE2429">
      <w:pPr>
        <w:ind w:firstLine="720"/>
        <w:jc w:val="both"/>
        <w:rPr>
          <w:rFonts w:ascii="Courier New" w:hAnsi="Courier New" w:cs="Courier New"/>
        </w:rPr>
      </w:pPr>
      <w:r>
        <w:rPr>
          <w:rFonts w:ascii="Courier New" w:hAnsi="Courier New" w:cs="Courier New"/>
        </w:rPr>
        <w:t>По окончании первого квартала, полугодия, девяти месяцев и года плательщики исчисляют нарастающим итогом сумму налога исходя из фактически полученного ими дохода, подлежащего обложению налогом, и установленной ставки. Уплата налога производится по квартальным расчетам в пятидневный срок со дня, установленного для представления бухгалтерского отчета (баланса) за квартал, а по годовым расчетам - в десятидневный срок со дня, установленного для представления бухгалтерского отчета (баланса) за год.</w:t>
      </w:r>
    </w:p>
    <w:p w:rsidR="00EE2429" w:rsidRDefault="00EE2429">
      <w:pPr>
        <w:ind w:firstLine="720"/>
        <w:jc w:val="both"/>
        <w:rPr>
          <w:rFonts w:ascii="Courier New" w:hAnsi="Courier New" w:cs="Courier New"/>
        </w:rPr>
      </w:pPr>
      <w:r>
        <w:rPr>
          <w:rFonts w:ascii="Courier New" w:hAnsi="Courier New" w:cs="Courier New"/>
        </w:rPr>
        <w:t>Платежные поручения на перечисление в бюджет налога на доход сдаются плательщиками в учреждения банков до наступления срока платежа.</w:t>
      </w:r>
    </w:p>
    <w:p w:rsidR="00EE2429" w:rsidRDefault="00EE2429">
      <w:pPr>
        <w:ind w:firstLine="720"/>
        <w:jc w:val="both"/>
        <w:rPr>
          <w:rFonts w:ascii="Courier New" w:hAnsi="Courier New" w:cs="Courier New"/>
        </w:rPr>
      </w:pPr>
      <w:r>
        <w:rPr>
          <w:rFonts w:ascii="Courier New" w:hAnsi="Courier New" w:cs="Courier New"/>
        </w:rPr>
        <w:t>3. Излишне внесенные суммы налога засчитываются в счет очередных платежей или возвращаются плательщику в десятидневный срок со дня получения его письменного заявления.</w:t>
      </w:r>
    </w:p>
    <w:p w:rsidR="00EE2429" w:rsidRDefault="00EE2429">
      <w:pPr>
        <w:ind w:firstLine="720"/>
        <w:jc w:val="both"/>
        <w:rPr>
          <w:rFonts w:ascii="Courier New" w:hAnsi="Courier New" w:cs="Courier New"/>
        </w:rPr>
      </w:pPr>
    </w:p>
    <w:p w:rsidR="00EE2429" w:rsidRDefault="00EE2429">
      <w:pPr>
        <w:jc w:val="both"/>
        <w:rPr>
          <w:rFonts w:ascii="Courier New" w:hAnsi="Courier New" w:cs="Courier New"/>
          <w:u w:val="single"/>
        </w:rPr>
      </w:pPr>
      <w:r>
        <w:rPr>
          <w:rFonts w:ascii="Courier New" w:hAnsi="Courier New" w:cs="Courier New"/>
        </w:rPr>
        <w:t xml:space="preserve">  1.5 </w:t>
      </w:r>
      <w:r>
        <w:rPr>
          <w:rFonts w:ascii="Courier New" w:hAnsi="Courier New" w:cs="Courier New"/>
          <w:u w:val="single"/>
        </w:rPr>
        <w:t>Устранение двойного налогообложения:</w:t>
      </w:r>
    </w:p>
    <w:p w:rsidR="00EE2429" w:rsidRDefault="00EE2429">
      <w:pPr>
        <w:ind w:firstLine="720"/>
        <w:jc w:val="both"/>
        <w:rPr>
          <w:rFonts w:ascii="Courier New" w:hAnsi="Courier New" w:cs="Courier New"/>
        </w:rPr>
      </w:pPr>
      <w:r>
        <w:rPr>
          <w:rFonts w:ascii="Courier New" w:hAnsi="Courier New" w:cs="Courier New"/>
        </w:rPr>
        <w:t>1. Сумма дохода, полученная за пределами Российской Федерации, включается в общую сумму дохода, подлежащую налогообложению в Российской Федерации, и учитывается при определении размера налога.</w:t>
      </w:r>
    </w:p>
    <w:p w:rsidR="00EE2429" w:rsidRDefault="00EE2429">
      <w:pPr>
        <w:ind w:firstLine="720"/>
        <w:jc w:val="both"/>
        <w:rPr>
          <w:rFonts w:ascii="Courier New" w:hAnsi="Courier New" w:cs="Courier New"/>
        </w:rPr>
      </w:pPr>
      <w:r>
        <w:rPr>
          <w:rFonts w:ascii="Courier New" w:hAnsi="Courier New" w:cs="Courier New"/>
        </w:rPr>
        <w:t>2. Уплаченная за пределами Российской Федерации в соответствии с законодательством других государств сумма налога на доход, полученный на территориях этих государств, засчитывается при уплате налога на доход в Российской Федерации. При этом размер засчитываемой суммы  не  может превышать суммы налога на доход, подлежащей уплате в Российской Федерации по доходу, полученному за ее пределами.</w:t>
      </w:r>
    </w:p>
    <w:p w:rsidR="00EE2429" w:rsidRDefault="00EE2429">
      <w:pPr>
        <w:ind w:firstLine="720"/>
        <w:jc w:val="both"/>
        <w:rPr>
          <w:rFonts w:ascii="Courier New" w:hAnsi="Courier New" w:cs="Courier New"/>
        </w:rPr>
      </w:pPr>
      <w:r>
        <w:rPr>
          <w:rFonts w:ascii="Courier New" w:hAnsi="Courier New" w:cs="Courier New"/>
        </w:rPr>
        <w:t>3. Правила устранения двойного налогообложения не распространяются на иностранных  юридических лиц, получающих доходы в связи с деятельностью в Российской Федерации.</w:t>
      </w:r>
    </w:p>
    <w:p w:rsidR="00EE2429" w:rsidRDefault="00EE2429">
      <w:pPr>
        <w:ind w:firstLine="720"/>
        <w:jc w:val="both"/>
        <w:rPr>
          <w:rFonts w:ascii="Courier New" w:hAnsi="Courier New" w:cs="Courier New"/>
        </w:rPr>
      </w:pPr>
    </w:p>
    <w:p w:rsidR="00EE2429" w:rsidRDefault="00EE2429">
      <w:pPr>
        <w:jc w:val="both"/>
        <w:rPr>
          <w:rFonts w:ascii="Courier New" w:hAnsi="Courier New" w:cs="Courier New"/>
          <w:u w:val="single"/>
        </w:rPr>
      </w:pPr>
      <w:r>
        <w:rPr>
          <w:rFonts w:ascii="Courier New" w:hAnsi="Courier New" w:cs="Courier New"/>
        </w:rPr>
        <w:t xml:space="preserve">  1.6 </w:t>
      </w:r>
      <w:r>
        <w:rPr>
          <w:rFonts w:ascii="Courier New" w:hAnsi="Courier New" w:cs="Courier New"/>
          <w:u w:val="single"/>
        </w:rPr>
        <w:t>Плательщиками налога на доход в соответствии с Законом РФ "О налогообложении доходов от страховой деятельности" являются:</w:t>
      </w:r>
    </w:p>
    <w:p w:rsidR="00EE2429" w:rsidRDefault="00EE2429">
      <w:pPr>
        <w:numPr>
          <w:ilvl w:val="0"/>
          <w:numId w:val="4"/>
        </w:numPr>
        <w:jc w:val="both"/>
        <w:rPr>
          <w:rFonts w:ascii="Courier New" w:hAnsi="Courier New" w:cs="Courier New"/>
        </w:rPr>
      </w:pPr>
      <w:r>
        <w:rPr>
          <w:rFonts w:ascii="Courier New" w:hAnsi="Courier New" w:cs="Courier New"/>
        </w:rPr>
        <w:t>Плательщиками налога на доходы от страховой деятельности, осуществляемой на основе лицензии, считаются предприятия, учреждения, организации, являющиеся юридическими лицами по законодательству Российской Федерации, включая предприятия с иностранными инвестициями.</w:t>
      </w:r>
    </w:p>
    <w:p w:rsidR="00EE2429" w:rsidRDefault="00EE2429">
      <w:pPr>
        <w:numPr>
          <w:ilvl w:val="0"/>
          <w:numId w:val="4"/>
        </w:numPr>
        <w:jc w:val="both"/>
        <w:rPr>
          <w:rFonts w:ascii="Courier New" w:hAnsi="Courier New" w:cs="Courier New"/>
        </w:rPr>
      </w:pPr>
      <w:r>
        <w:rPr>
          <w:rFonts w:ascii="Courier New" w:hAnsi="Courier New" w:cs="Courier New"/>
        </w:rPr>
        <w:t>Плательщиками налога на доходы от страховой деятельности являются также компании, фирмы, любые другие организации, образованные в соответствии с законодательством иностранных государств, которые осуществляют в установленном порядке страховую деятельность в Российской Федерации через постоянные представительства.</w:t>
      </w:r>
    </w:p>
    <w:p w:rsidR="00EE2429" w:rsidRDefault="00EE2429">
      <w:pPr>
        <w:pStyle w:val="2"/>
        <w:jc w:val="both"/>
        <w:rPr>
          <w:rFonts w:ascii="Courier New" w:hAnsi="Courier New" w:cs="Courier New"/>
        </w:rPr>
      </w:pPr>
      <w:r>
        <w:rPr>
          <w:rFonts w:ascii="Courier New" w:hAnsi="Courier New" w:cs="Courier New"/>
        </w:rPr>
        <w:t>Под постоянным представительством иностранного юридического лица для целей налогообложения понимается бюро, контора, агентство, любое другое место осуществления страховой деятельности, а также организации и граждане, уполномоченные иностранными юридическими лицами осуществлять представительские функции в Российской Федерации. Иностранное юридическое лицо подлежит учету в налоговом органе по месту нахождения его постоянного представительства.</w:t>
      </w:r>
    </w:p>
    <w:p w:rsidR="00EE2429" w:rsidRDefault="00EE2429">
      <w:pPr>
        <w:numPr>
          <w:ilvl w:val="0"/>
          <w:numId w:val="5"/>
        </w:numPr>
        <w:jc w:val="both"/>
        <w:rPr>
          <w:rFonts w:ascii="Courier New" w:hAnsi="Courier New" w:cs="Courier New"/>
        </w:rPr>
      </w:pPr>
      <w:r>
        <w:rPr>
          <w:rFonts w:ascii="Courier New" w:hAnsi="Courier New" w:cs="Courier New"/>
        </w:rPr>
        <w:t>Предприятия, учреждения и организации, указанные в настоящей статье, именуются в дальнейшем - страховые организации.</w:t>
      </w:r>
    </w:p>
    <w:p w:rsidR="00EE2429" w:rsidRDefault="00EE2429">
      <w:pPr>
        <w:ind w:firstLine="720"/>
        <w:jc w:val="both"/>
        <w:rPr>
          <w:rFonts w:ascii="Courier New" w:hAnsi="Courier New" w:cs="Courier New"/>
          <w:u w:val="single"/>
        </w:rPr>
      </w:pPr>
    </w:p>
    <w:p w:rsidR="00EE2429" w:rsidRDefault="00EE2429">
      <w:pPr>
        <w:rPr>
          <w:rFonts w:ascii="Courier New" w:hAnsi="Courier New" w:cs="Courier New"/>
          <w:u w:val="single"/>
        </w:rPr>
      </w:pPr>
      <w:r>
        <w:rPr>
          <w:rFonts w:ascii="Courier New" w:hAnsi="Courier New" w:cs="Courier New"/>
        </w:rPr>
        <w:t xml:space="preserve">  1.7 </w:t>
      </w:r>
      <w:r>
        <w:rPr>
          <w:rFonts w:ascii="Courier New" w:hAnsi="Courier New" w:cs="Courier New"/>
          <w:u w:val="single"/>
        </w:rPr>
        <w:t>Объект обложения налогом:</w:t>
      </w:r>
    </w:p>
    <w:p w:rsidR="00EE2429" w:rsidRDefault="00EE2429">
      <w:pPr>
        <w:ind w:firstLine="720"/>
        <w:jc w:val="both"/>
        <w:rPr>
          <w:rFonts w:ascii="Courier New" w:hAnsi="Courier New" w:cs="Courier New"/>
        </w:rPr>
      </w:pPr>
      <w:r>
        <w:rPr>
          <w:rFonts w:ascii="Courier New" w:hAnsi="Courier New" w:cs="Courier New"/>
        </w:rPr>
        <w:t>1. Объектом обложения налогом является доход от страховой деятельности, уменьшенный на сумму затрат, включаемых в себестоимость страховых услуг. При этом затраты на оплату труда штатных работников в себестоимость страховых услуг не включаются.</w:t>
      </w:r>
    </w:p>
    <w:p w:rsidR="00EE2429" w:rsidRDefault="00EE2429">
      <w:pPr>
        <w:pStyle w:val="30"/>
        <w:jc w:val="both"/>
        <w:rPr>
          <w:sz w:val="24"/>
        </w:rPr>
      </w:pPr>
      <w:r>
        <w:rPr>
          <w:sz w:val="24"/>
        </w:rPr>
        <w:t>2. Доход от страховой деятельности представляет собой сумму страховых платежей (премий),  получаемых по договорам страхования, перестрахования, а также иных поступлений доходов, связанных со страховой деятельностью.</w:t>
      </w:r>
    </w:p>
    <w:p w:rsidR="00EE2429" w:rsidRDefault="00EE2429">
      <w:pPr>
        <w:ind w:firstLine="720"/>
        <w:jc w:val="both"/>
        <w:rPr>
          <w:rFonts w:ascii="Courier New" w:hAnsi="Courier New" w:cs="Courier New"/>
        </w:rPr>
      </w:pPr>
      <w:r>
        <w:rPr>
          <w:rFonts w:ascii="Courier New" w:hAnsi="Courier New" w:cs="Courier New"/>
        </w:rPr>
        <w:t>3. Доходы в иностранной валюте подлежат налогообложению по совокупности с доходом от страховой деятельности в рублях. При этом доходы в иностранной валюте пересчитываются в рубли по курсу Центрального банка Российской Федерации, действовавшему на день поступления средств на валютный счет или в кассу предприятия.</w:t>
      </w:r>
    </w:p>
    <w:p w:rsidR="00EE2429" w:rsidRDefault="00EE2429">
      <w:pPr>
        <w:ind w:firstLine="720"/>
        <w:jc w:val="both"/>
        <w:rPr>
          <w:rFonts w:ascii="Courier New" w:hAnsi="Courier New" w:cs="Courier New"/>
        </w:rPr>
      </w:pPr>
      <w:r>
        <w:rPr>
          <w:rFonts w:ascii="Courier New" w:hAnsi="Courier New" w:cs="Courier New"/>
        </w:rPr>
        <w:t>4. Страховые  организации,  получившие доход от иной деятельности, уплачивают налог от этой деятельности в  порядке,  установленном законами о налогах на прибыль и доход предприятий,  а также другими законодательными актами о налогах.</w:t>
      </w:r>
    </w:p>
    <w:p w:rsidR="00EE2429" w:rsidRDefault="00EE2429">
      <w:pPr>
        <w:ind w:firstLine="720"/>
        <w:jc w:val="both"/>
        <w:rPr>
          <w:rFonts w:ascii="Courier New" w:hAnsi="Courier New" w:cs="Courier New"/>
        </w:rPr>
      </w:pPr>
      <w:r>
        <w:rPr>
          <w:rFonts w:ascii="Courier New" w:hAnsi="Courier New" w:cs="Courier New"/>
        </w:rPr>
        <w:t>5. Налог  на доходы от акций,  облигаций и иных ценных бумаг, принадлежащих страховой организации, а также от долевого участия в других предприятиях взимается у источника этих доходов.</w:t>
      </w:r>
    </w:p>
    <w:p w:rsidR="00EE2429" w:rsidRDefault="00EE2429">
      <w:pPr>
        <w:rPr>
          <w:rFonts w:ascii="Courier New" w:hAnsi="Courier New" w:cs="Courier New"/>
        </w:rPr>
      </w:pPr>
    </w:p>
    <w:p w:rsidR="00EE2429" w:rsidRDefault="00EE2429">
      <w:pPr>
        <w:rPr>
          <w:rFonts w:ascii="Courier New" w:hAnsi="Courier New" w:cs="Courier New"/>
          <w:u w:val="single"/>
        </w:rPr>
      </w:pPr>
      <w:r>
        <w:rPr>
          <w:rFonts w:ascii="Courier New" w:hAnsi="Courier New" w:cs="Courier New"/>
        </w:rPr>
        <w:t xml:space="preserve">1.8 </w:t>
      </w:r>
      <w:r>
        <w:rPr>
          <w:rFonts w:ascii="Courier New" w:hAnsi="Courier New" w:cs="Courier New"/>
          <w:u w:val="single"/>
        </w:rPr>
        <w:t>Расчет налогооблагаемой базы:</w:t>
      </w:r>
    </w:p>
    <w:p w:rsidR="00EE2429" w:rsidRDefault="00EE2429">
      <w:pPr>
        <w:rPr>
          <w:rFonts w:ascii="Courier New" w:hAnsi="Courier New" w:cs="Courier New"/>
        </w:rPr>
      </w:pPr>
      <w:r>
        <w:rPr>
          <w:rFonts w:ascii="Courier New" w:hAnsi="Courier New" w:cs="Courier New"/>
        </w:rPr>
        <w:t>В целях налогообложения доход уменьшается на сумму следующих расходов:</w:t>
      </w:r>
    </w:p>
    <w:p w:rsidR="00EE2429" w:rsidRDefault="00EE2429">
      <w:pPr>
        <w:ind w:firstLine="540"/>
        <w:jc w:val="both"/>
        <w:rPr>
          <w:rFonts w:ascii="Courier New" w:hAnsi="Courier New" w:cs="Courier New"/>
        </w:rPr>
      </w:pPr>
      <w:r>
        <w:rPr>
          <w:rFonts w:ascii="Courier New" w:hAnsi="Courier New" w:cs="Courier New"/>
        </w:rPr>
        <w:t>а) выплаченных страховых сумм и страховых возмещений;</w:t>
      </w:r>
    </w:p>
    <w:p w:rsidR="00EE2429" w:rsidRDefault="00EE2429">
      <w:pPr>
        <w:ind w:firstLine="540"/>
        <w:jc w:val="both"/>
        <w:rPr>
          <w:rFonts w:ascii="Courier New" w:hAnsi="Courier New" w:cs="Courier New"/>
        </w:rPr>
      </w:pPr>
      <w:r>
        <w:rPr>
          <w:rFonts w:ascii="Courier New" w:hAnsi="Courier New" w:cs="Courier New"/>
        </w:rPr>
        <w:t>б) комиссионных вознаграждений, выплаченных посредникам (страховым агентам, страховым брокерам) по операциям страхования и перестрахования;</w:t>
      </w:r>
    </w:p>
    <w:p w:rsidR="00EE2429" w:rsidRDefault="00EE2429">
      <w:pPr>
        <w:ind w:firstLine="540"/>
        <w:jc w:val="both"/>
        <w:rPr>
          <w:rFonts w:ascii="Courier New" w:hAnsi="Courier New" w:cs="Courier New"/>
        </w:rPr>
      </w:pPr>
      <w:r>
        <w:rPr>
          <w:rFonts w:ascii="Courier New" w:hAnsi="Courier New" w:cs="Courier New"/>
        </w:rPr>
        <w:t>в) страховых платежей (премий), переданных в перестрахование;</w:t>
      </w:r>
    </w:p>
    <w:p w:rsidR="00EE2429" w:rsidRDefault="00EE2429">
      <w:pPr>
        <w:ind w:firstLine="540"/>
        <w:jc w:val="both"/>
        <w:rPr>
          <w:rFonts w:ascii="Courier New" w:hAnsi="Courier New" w:cs="Courier New"/>
        </w:rPr>
      </w:pPr>
      <w:r>
        <w:rPr>
          <w:rFonts w:ascii="Courier New" w:hAnsi="Courier New" w:cs="Courier New"/>
        </w:rPr>
        <w:t>г) возврата перестраховщикам их доли специальных страховых резервов предыдущего года;</w:t>
      </w:r>
    </w:p>
    <w:p w:rsidR="00EE2429" w:rsidRDefault="00EE2429">
      <w:pPr>
        <w:ind w:firstLine="540"/>
        <w:jc w:val="both"/>
        <w:rPr>
          <w:rFonts w:ascii="Courier New" w:hAnsi="Courier New" w:cs="Courier New"/>
        </w:rPr>
      </w:pPr>
      <w:r>
        <w:rPr>
          <w:rFonts w:ascii="Courier New" w:hAnsi="Courier New" w:cs="Courier New"/>
        </w:rPr>
        <w:t>д) отчислений в специальные страховые фонды и резервы, образуемые в соответствии с законодательными актами;</w:t>
      </w:r>
    </w:p>
    <w:p w:rsidR="00EE2429" w:rsidRDefault="00EE2429">
      <w:pPr>
        <w:ind w:firstLine="540"/>
        <w:jc w:val="both"/>
        <w:rPr>
          <w:rFonts w:ascii="Courier New" w:hAnsi="Courier New" w:cs="Courier New"/>
        </w:rPr>
      </w:pPr>
      <w:r>
        <w:rPr>
          <w:rFonts w:ascii="Courier New" w:hAnsi="Courier New" w:cs="Courier New"/>
        </w:rPr>
        <w:t>е) сумм, вносимых в Пенсионный фонд Российской Федерации, Фонд обязательного медицинского страхования Российской  Федерации, Фонд социального страхования Российской Федерации, Государственный фонд занятости населения Российской Федерации, а также других обязательных платежей;</w:t>
      </w:r>
    </w:p>
    <w:p w:rsidR="00EE2429" w:rsidRDefault="00EE2429">
      <w:pPr>
        <w:ind w:firstLine="540"/>
        <w:jc w:val="both"/>
        <w:rPr>
          <w:rFonts w:ascii="Courier New" w:hAnsi="Courier New" w:cs="Courier New"/>
        </w:rPr>
      </w:pPr>
      <w:r>
        <w:rPr>
          <w:rFonts w:ascii="Courier New" w:hAnsi="Courier New" w:cs="Courier New"/>
        </w:rPr>
        <w:t>ж) сумм, причитающихся к уплате в бюджетную систему Российской Федерации в виде налога на имущество страховой организации, земельного налога и целевых налогов на покрытие затрат на финансирование строительства, реконструкции, ремонта и содержание автомобильных дорог общего пользования;</w:t>
      </w:r>
    </w:p>
    <w:p w:rsidR="00EE2429" w:rsidRDefault="00EE2429">
      <w:pPr>
        <w:ind w:firstLine="540"/>
        <w:jc w:val="both"/>
        <w:rPr>
          <w:rFonts w:ascii="Courier New" w:hAnsi="Courier New" w:cs="Courier New"/>
        </w:rPr>
      </w:pPr>
      <w:r>
        <w:rPr>
          <w:rFonts w:ascii="Courier New" w:hAnsi="Courier New" w:cs="Courier New"/>
        </w:rPr>
        <w:t>з) расходов, включаемых в себестоимость страховых услуг и определяемых в соответствии с законодательными актами о налогообложении прибыли (дохода) предприятий;</w:t>
      </w:r>
    </w:p>
    <w:p w:rsidR="00EE2429" w:rsidRDefault="00EE2429">
      <w:pPr>
        <w:ind w:firstLine="540"/>
        <w:jc w:val="both"/>
        <w:rPr>
          <w:rFonts w:ascii="Courier New" w:hAnsi="Courier New" w:cs="Courier New"/>
        </w:rPr>
      </w:pPr>
      <w:r>
        <w:rPr>
          <w:rFonts w:ascii="Courier New" w:hAnsi="Courier New" w:cs="Courier New"/>
        </w:rPr>
        <w:t>и) амортизационных отчислений на полное восстановление основных фондов, начисленных в течение налогооблагаемого периода по нормам, утверждаемым Правительством Российской Федерации;</w:t>
      </w:r>
    </w:p>
    <w:p w:rsidR="00EE2429" w:rsidRDefault="00EE2429">
      <w:pPr>
        <w:ind w:firstLine="540"/>
        <w:jc w:val="both"/>
        <w:rPr>
          <w:rFonts w:ascii="Courier New" w:hAnsi="Courier New" w:cs="Courier New"/>
        </w:rPr>
      </w:pPr>
      <w:r>
        <w:rPr>
          <w:rFonts w:ascii="Courier New" w:hAnsi="Courier New" w:cs="Courier New"/>
        </w:rPr>
        <w:t>к) суммы износа нематериальных активов, начисленной по нормам, рассчитанным плательщиком налога исходя из первоначальной стоимости и срока их полезного использования, но не более срока деятельности плательщика. Норма износа нематериальных активов, срок полезного использования которых невозможно определить, устанавливается в расчете на десять лет, но не более срока деятельности страховой организации;</w:t>
      </w:r>
    </w:p>
    <w:p w:rsidR="00EE2429" w:rsidRDefault="00EE2429">
      <w:pPr>
        <w:ind w:firstLine="540"/>
        <w:jc w:val="both"/>
        <w:rPr>
          <w:rFonts w:ascii="Courier New" w:hAnsi="Courier New" w:cs="Courier New"/>
        </w:rPr>
      </w:pPr>
      <w:r>
        <w:rPr>
          <w:rFonts w:ascii="Courier New" w:hAnsi="Courier New" w:cs="Courier New"/>
        </w:rPr>
        <w:t>л) по аренде основных фондов - в размере амортизационных отчислений на полное их восстановление, а нематериальных активов – в размере суммы начисленного износа. Страховые организации с иностранными инвестициями, их филиалы, находящиеся за пределами Российской Федерации, страховые организации, осуществляющие страховую деятельность в Российской Федерации через постоянные представительства, производят амортизационные отчисления на полное восстановление основных фондов и начисление суммы износа нематериальных активов по нормативам и в порядке, установленным для российских предприятий, если иное не предусмотрено международными договорами Российской Федерации и бывшего СССР, межреспубликанскими договорами Российской Федерации и действующим законодательством;</w:t>
      </w:r>
    </w:p>
    <w:p w:rsidR="00EE2429" w:rsidRDefault="00EE2429">
      <w:pPr>
        <w:ind w:firstLine="540"/>
        <w:jc w:val="both"/>
        <w:rPr>
          <w:rFonts w:ascii="Courier New" w:hAnsi="Courier New" w:cs="Courier New"/>
        </w:rPr>
      </w:pPr>
      <w:r>
        <w:rPr>
          <w:rFonts w:ascii="Courier New" w:hAnsi="Courier New" w:cs="Courier New"/>
        </w:rPr>
        <w:t>м) других расходов, связанных с особенностями страховой деятельности.</w:t>
      </w:r>
    </w:p>
    <w:p w:rsidR="00EE2429" w:rsidRDefault="00EE2429">
      <w:pPr>
        <w:ind w:firstLine="540"/>
        <w:jc w:val="both"/>
        <w:rPr>
          <w:rFonts w:ascii="Courier New" w:hAnsi="Courier New" w:cs="Courier New"/>
        </w:rPr>
      </w:pPr>
      <w:r>
        <w:rPr>
          <w:rFonts w:ascii="Courier New" w:hAnsi="Courier New" w:cs="Courier New"/>
        </w:rPr>
        <w:t>При определении налогооблагаемой базы страховых организаций, получающих доходы от иной деятельности, отнесение расходов на страховую деятельность, за исключением  предусмотренных пунктами "а" - "д" настоящей статьи, производится исходя из доли дохода от этого вида деятельности в общей сумме дохода  страховых организаций.</w:t>
      </w:r>
    </w:p>
    <w:p w:rsidR="00EE2429" w:rsidRDefault="00EE2429">
      <w:pPr>
        <w:ind w:firstLine="540"/>
        <w:jc w:val="both"/>
        <w:rPr>
          <w:rFonts w:ascii="Courier New" w:hAnsi="Courier New" w:cs="Courier New"/>
        </w:rPr>
      </w:pPr>
      <w:r>
        <w:rPr>
          <w:rFonts w:ascii="Courier New" w:hAnsi="Courier New" w:cs="Courier New"/>
        </w:rPr>
        <w:t>Уточнение состава доходов и расходов, учитываемых при определении налогооблагаемой базы, производится Правительством Российской Федерации.</w:t>
      </w:r>
    </w:p>
    <w:p w:rsidR="00EE2429" w:rsidRDefault="00EE2429">
      <w:pPr>
        <w:ind w:firstLine="720"/>
        <w:jc w:val="both"/>
        <w:rPr>
          <w:rFonts w:ascii="Courier New" w:hAnsi="Courier New" w:cs="Courier New"/>
        </w:rPr>
      </w:pPr>
    </w:p>
    <w:p w:rsidR="00EE2429" w:rsidRDefault="00EE2429">
      <w:pPr>
        <w:jc w:val="both"/>
        <w:rPr>
          <w:rFonts w:ascii="Courier New" w:hAnsi="Courier New" w:cs="Courier New"/>
        </w:rPr>
      </w:pPr>
      <w:r>
        <w:rPr>
          <w:rFonts w:ascii="Courier New" w:hAnsi="Courier New" w:cs="Courier New"/>
        </w:rPr>
        <w:t xml:space="preserve">  1.9 </w:t>
      </w:r>
      <w:r>
        <w:rPr>
          <w:rFonts w:ascii="Courier New" w:hAnsi="Courier New" w:cs="Courier New"/>
          <w:u w:val="single"/>
        </w:rPr>
        <w:t>Порядок исчисления и сроки уплаты налога:</w:t>
      </w:r>
    </w:p>
    <w:p w:rsidR="00EE2429" w:rsidRDefault="00EE2429">
      <w:pPr>
        <w:ind w:firstLine="720"/>
        <w:jc w:val="both"/>
        <w:rPr>
          <w:rFonts w:ascii="Courier New" w:hAnsi="Courier New" w:cs="Courier New"/>
        </w:rPr>
      </w:pPr>
      <w:r>
        <w:rPr>
          <w:rFonts w:ascii="Courier New" w:hAnsi="Courier New" w:cs="Courier New"/>
        </w:rPr>
        <w:t>1. Суммы  налога определяются страховой организацией на основании бухгалтерской отчетности самостоятельно в соответствии с положениями Закона.</w:t>
      </w:r>
    </w:p>
    <w:p w:rsidR="00EE2429" w:rsidRDefault="00EE2429">
      <w:pPr>
        <w:ind w:firstLine="720"/>
        <w:jc w:val="both"/>
        <w:rPr>
          <w:rFonts w:ascii="Courier New" w:hAnsi="Courier New" w:cs="Courier New"/>
        </w:rPr>
      </w:pPr>
      <w:r>
        <w:rPr>
          <w:rFonts w:ascii="Courier New" w:hAnsi="Courier New" w:cs="Courier New"/>
        </w:rPr>
        <w:t>2. В течение квартала страховая организация производит авансовые взносы налога исходя из предполагаемой суммы дохода за налогооблагаемый период и ставки налога.</w:t>
      </w:r>
    </w:p>
    <w:p w:rsidR="00EE2429" w:rsidRDefault="00EE2429">
      <w:pPr>
        <w:ind w:firstLine="720"/>
        <w:jc w:val="both"/>
        <w:rPr>
          <w:rFonts w:ascii="Courier New" w:hAnsi="Courier New" w:cs="Courier New"/>
        </w:rPr>
      </w:pPr>
      <w:r>
        <w:rPr>
          <w:rFonts w:ascii="Courier New" w:hAnsi="Courier New" w:cs="Courier New"/>
        </w:rPr>
        <w:t>Авансовые взносы налога производятся страховой организацией не позднее 10 и 25 числа каждого месяца равными долями в размере одной шестой квартальной суммы налога на доход.</w:t>
      </w:r>
    </w:p>
    <w:p w:rsidR="00EE2429" w:rsidRDefault="00EE2429">
      <w:pPr>
        <w:ind w:firstLine="720"/>
        <w:jc w:val="both"/>
        <w:rPr>
          <w:rFonts w:ascii="Courier New" w:hAnsi="Courier New" w:cs="Courier New"/>
        </w:rPr>
      </w:pPr>
      <w:r>
        <w:rPr>
          <w:rFonts w:ascii="Courier New" w:hAnsi="Courier New" w:cs="Courier New"/>
        </w:rPr>
        <w:t>По ходатайству страховой организации,  имеющей незначительную сумму налога на доход, орган исполнительной власти по месту нахождения организации может установить один срок уплаты - 20 числа каждого месяца, в размере одной трети квартальной суммы налога.</w:t>
      </w:r>
    </w:p>
    <w:p w:rsidR="00EE2429" w:rsidRDefault="00EE2429">
      <w:pPr>
        <w:ind w:firstLine="720"/>
        <w:jc w:val="both"/>
        <w:rPr>
          <w:rFonts w:ascii="Courier New" w:hAnsi="Courier New" w:cs="Courier New"/>
        </w:rPr>
      </w:pPr>
      <w:r>
        <w:rPr>
          <w:rFonts w:ascii="Courier New" w:hAnsi="Courier New" w:cs="Courier New"/>
        </w:rPr>
        <w:t>По окончании первого квартала, полугодия, девяти месяцев и года страховая организация исчисляет сумму налога нарастающим итогом с начала года исходя из фактически полученного ею дохода, подлежащего налогообложению, и ставки налога. Сумма налога, подлежащая уплате в бюджет, определяется с учетом ранее начисленных платежей.</w:t>
      </w:r>
    </w:p>
    <w:p w:rsidR="00EE2429" w:rsidRDefault="00EE2429">
      <w:pPr>
        <w:ind w:firstLine="720"/>
        <w:jc w:val="both"/>
        <w:rPr>
          <w:rFonts w:ascii="Courier New" w:hAnsi="Courier New" w:cs="Courier New"/>
        </w:rPr>
      </w:pPr>
      <w:r>
        <w:rPr>
          <w:rFonts w:ascii="Courier New" w:hAnsi="Courier New" w:cs="Courier New"/>
        </w:rPr>
        <w:t>3. Уплата налога производится по квартальным расчетам в пятидневный срок со дня, установленного для представления бухгалтерского отчета за квартал, а по годовым расчетам - в десятидневный срок со дня, установленного для представления бухгалтерского отчета за год.</w:t>
      </w:r>
    </w:p>
    <w:p w:rsidR="00EE2429" w:rsidRDefault="00EE2429">
      <w:pPr>
        <w:ind w:firstLine="720"/>
        <w:jc w:val="both"/>
        <w:rPr>
          <w:rFonts w:ascii="Courier New" w:hAnsi="Courier New" w:cs="Courier New"/>
        </w:rPr>
      </w:pPr>
      <w:r>
        <w:rPr>
          <w:rFonts w:ascii="Courier New" w:hAnsi="Courier New" w:cs="Courier New"/>
        </w:rPr>
        <w:t>Страховая организация обязана до наступления срока платежа сдать в соответствующие учреждения банка платежные поручения на перечисление налога в бюджет, которые исполняются в первоочередном порядке.</w:t>
      </w:r>
    </w:p>
    <w:p w:rsidR="00EE2429" w:rsidRDefault="00EE2429">
      <w:pPr>
        <w:ind w:firstLine="720"/>
        <w:jc w:val="both"/>
        <w:rPr>
          <w:rFonts w:ascii="Courier New" w:hAnsi="Courier New" w:cs="Courier New"/>
        </w:rPr>
      </w:pPr>
      <w:r>
        <w:rPr>
          <w:rFonts w:ascii="Courier New" w:hAnsi="Courier New" w:cs="Courier New"/>
        </w:rPr>
        <w:t>4. Излишне внесенные суммы налога засчитываются в счет очередных платежей или возвращаются страховой организации в десятидневный срок со дня получения его письменного заявления.</w:t>
      </w:r>
    </w:p>
    <w:p w:rsidR="00EE2429" w:rsidRDefault="00EE2429">
      <w:pPr>
        <w:ind w:firstLine="720"/>
        <w:jc w:val="both"/>
        <w:rPr>
          <w:rFonts w:ascii="Courier New" w:hAnsi="Courier New" w:cs="Courier New"/>
        </w:rPr>
      </w:pPr>
    </w:p>
    <w:p w:rsidR="00EE2429" w:rsidRDefault="00EE2429">
      <w:pPr>
        <w:jc w:val="both"/>
        <w:rPr>
          <w:rFonts w:ascii="Courier New" w:hAnsi="Courier New" w:cs="Courier New"/>
          <w:u w:val="single"/>
        </w:rPr>
      </w:pPr>
      <w:r>
        <w:rPr>
          <w:rFonts w:ascii="Courier New" w:hAnsi="Courier New" w:cs="Courier New"/>
        </w:rPr>
        <w:t xml:space="preserve">  1.10 </w:t>
      </w:r>
      <w:r>
        <w:rPr>
          <w:rFonts w:ascii="Courier New" w:hAnsi="Courier New" w:cs="Courier New"/>
          <w:u w:val="single"/>
        </w:rPr>
        <w:t>Устранение двойного налогообложения:</w:t>
      </w:r>
    </w:p>
    <w:p w:rsidR="00EE2429" w:rsidRDefault="00EE2429">
      <w:pPr>
        <w:ind w:firstLine="720"/>
        <w:jc w:val="both"/>
        <w:rPr>
          <w:rFonts w:ascii="Courier New" w:hAnsi="Courier New" w:cs="Courier New"/>
        </w:rPr>
      </w:pPr>
      <w:r>
        <w:rPr>
          <w:rFonts w:ascii="Courier New" w:hAnsi="Courier New" w:cs="Courier New"/>
        </w:rPr>
        <w:t>1. Сумма дохода, полученная за пределами Российской Федерации, включается в общую сумму дохода, подлежащую налогообложению в Российской Федерации, и учитывается при определении размера налога</w:t>
      </w:r>
    </w:p>
    <w:p w:rsidR="00EE2429" w:rsidRDefault="00EE2429">
      <w:pPr>
        <w:ind w:firstLine="720"/>
        <w:jc w:val="both"/>
        <w:rPr>
          <w:rFonts w:ascii="Courier New" w:hAnsi="Courier New" w:cs="Courier New"/>
        </w:rPr>
      </w:pPr>
      <w:r>
        <w:rPr>
          <w:rFonts w:ascii="Courier New" w:hAnsi="Courier New" w:cs="Courier New"/>
        </w:rPr>
        <w:t>2. Уплаченная за пределами Российской Федерации в соответствии с законодательствами других государств сумма налога на доход страховой организации, полученный на территориях этих государств, засчитывается при уплате страховой организацией налога на доход в Российской Федерации. При этом размер засчитываемой суммы не может превышать суммы налога на доход, подлежащей уплате в Российской Федерации по доходу, полученному за ее пределами.</w:t>
      </w: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rPr>
          <w:rFonts w:ascii="Courier New" w:hAnsi="Courier New" w:cs="Courier New"/>
        </w:rPr>
      </w:pPr>
    </w:p>
    <w:p w:rsidR="00EE2429" w:rsidRDefault="00EE2429">
      <w:pPr>
        <w:jc w:val="center"/>
        <w:rPr>
          <w:rFonts w:ascii="Courier New" w:hAnsi="Courier New" w:cs="Courier New"/>
        </w:rPr>
      </w:pPr>
      <w:r>
        <w:rPr>
          <w:rFonts w:ascii="Courier New" w:hAnsi="Courier New" w:cs="Courier New"/>
        </w:rPr>
        <w:t xml:space="preserve">2. </w:t>
      </w:r>
      <w:r>
        <w:rPr>
          <w:rFonts w:ascii="Courier New" w:hAnsi="Courier New" w:cs="Courier New"/>
          <w:u w:val="single"/>
        </w:rPr>
        <w:t>Налогообложение банков (Зарубежный опыт)</w:t>
      </w:r>
    </w:p>
    <w:p w:rsidR="00EE2429" w:rsidRDefault="00EE2429">
      <w:pPr>
        <w:pStyle w:val="a5"/>
        <w:rPr>
          <w:rFonts w:ascii="Courier New" w:hAnsi="Courier New" w:cs="Courier New"/>
          <w:u w:val="none"/>
        </w:rPr>
      </w:pPr>
      <w:r>
        <w:rPr>
          <w:rFonts w:ascii="Courier New" w:hAnsi="Courier New" w:cs="Courier New"/>
          <w:u w:val="none"/>
        </w:rPr>
        <w:t>Рассмотрим сложившуюся практику налогообложения банков в некоторых странах. Как правило, в странах запада система налогообложения банков связана с общей системой налогов на корпорации. Средние ставки налогов, уплаченных банками, например, в 1986 – 1988 гг. в некоторых странах представлены в таблице. Приведенные данные отображают общую тенденцию к понижению размера ставки в конце 80-х гг.</w:t>
      </w:r>
    </w:p>
    <w:p w:rsidR="00EE2429" w:rsidRDefault="00EE2429">
      <w:pPr>
        <w:pStyle w:val="a5"/>
        <w:ind w:firstLine="0"/>
        <w:jc w:val="right"/>
        <w:rPr>
          <w:rFonts w:ascii="Courier New" w:hAnsi="Courier New" w:cs="Courier New"/>
          <w:i/>
          <w:u w:val="none"/>
        </w:rPr>
      </w:pPr>
      <w:r>
        <w:rPr>
          <w:rFonts w:ascii="Courier New" w:hAnsi="Courier New" w:cs="Courier New"/>
          <w:i/>
          <w:u w:val="none"/>
        </w:rPr>
        <w:t>Таблица</w:t>
      </w:r>
    </w:p>
    <w:p w:rsidR="00EE2429" w:rsidRDefault="00EE2429">
      <w:pPr>
        <w:pStyle w:val="a5"/>
        <w:ind w:firstLine="0"/>
        <w:jc w:val="center"/>
        <w:rPr>
          <w:rFonts w:ascii="Courier New" w:hAnsi="Courier New" w:cs="Courier New"/>
          <w:bCs/>
          <w:iCs/>
          <w:u w:val="none"/>
        </w:rPr>
      </w:pPr>
      <w:r>
        <w:rPr>
          <w:rFonts w:ascii="Courier New" w:hAnsi="Courier New" w:cs="Courier New"/>
          <w:bCs/>
          <w:iCs/>
          <w:u w:val="none"/>
        </w:rPr>
        <w:t>Средние ставки налогов уплаченных банками в 1986 – 1988 гг.</w:t>
      </w:r>
    </w:p>
    <w:tbl>
      <w:tblPr>
        <w:tblW w:w="0" w:type="auto"/>
        <w:tblLayout w:type="fixed"/>
        <w:tblCellMar>
          <w:left w:w="30" w:type="dxa"/>
          <w:right w:w="30" w:type="dxa"/>
        </w:tblCellMar>
        <w:tblLook w:val="0000" w:firstRow="0" w:lastRow="0" w:firstColumn="0" w:lastColumn="0" w:noHBand="0" w:noVBand="0"/>
      </w:tblPr>
      <w:tblGrid>
        <w:gridCol w:w="869"/>
        <w:gridCol w:w="4022"/>
        <w:gridCol w:w="2369"/>
        <w:gridCol w:w="2126"/>
      </w:tblGrid>
      <w:tr w:rsidR="00EE2429">
        <w:trPr>
          <w:trHeight w:val="307"/>
        </w:trPr>
        <w:tc>
          <w:tcPr>
            <w:tcW w:w="869" w:type="dxa"/>
            <w:tcBorders>
              <w:top w:val="single" w:sz="6" w:space="0" w:color="auto"/>
              <w:left w:val="single" w:sz="6" w:space="0" w:color="auto"/>
              <w:bottom w:val="single" w:sz="6" w:space="0" w:color="auto"/>
              <w:right w:val="single" w:sz="6" w:space="0" w:color="auto"/>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 п/п</w:t>
            </w:r>
          </w:p>
        </w:tc>
        <w:tc>
          <w:tcPr>
            <w:tcW w:w="4022" w:type="dxa"/>
            <w:tcBorders>
              <w:top w:val="single" w:sz="6" w:space="0" w:color="auto"/>
              <w:left w:val="single" w:sz="6" w:space="0" w:color="auto"/>
              <w:bottom w:val="single" w:sz="6" w:space="0" w:color="auto"/>
              <w:right w:val="single" w:sz="6" w:space="0" w:color="auto"/>
            </w:tcBorders>
          </w:tcPr>
          <w:p w:rsidR="00EE2429" w:rsidRDefault="00EE2429">
            <w:pPr>
              <w:pStyle w:val="3"/>
              <w:rPr>
                <w:rFonts w:cs="Courier New"/>
              </w:rPr>
            </w:pPr>
            <w:r>
              <w:rPr>
                <w:rFonts w:cs="Courier New"/>
              </w:rPr>
              <w:t>Страна</w:t>
            </w:r>
          </w:p>
        </w:tc>
        <w:tc>
          <w:tcPr>
            <w:tcW w:w="4495" w:type="dxa"/>
            <w:gridSpan w:val="2"/>
            <w:tcBorders>
              <w:top w:val="single" w:sz="6" w:space="0" w:color="auto"/>
              <w:left w:val="single" w:sz="6" w:space="0" w:color="auto"/>
              <w:bottom w:val="single" w:sz="6" w:space="0" w:color="auto"/>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Размер ставки (%)</w:t>
            </w:r>
          </w:p>
        </w:tc>
      </w:tr>
      <w:tr w:rsidR="00EE2429">
        <w:trPr>
          <w:trHeight w:val="307"/>
        </w:trPr>
        <w:tc>
          <w:tcPr>
            <w:tcW w:w="869" w:type="dxa"/>
            <w:tcBorders>
              <w:top w:val="single" w:sz="6" w:space="0" w:color="auto"/>
              <w:left w:val="single" w:sz="6" w:space="0" w:color="auto"/>
              <w:bottom w:val="single" w:sz="2" w:space="0" w:color="000000"/>
              <w:right w:val="single" w:sz="2" w:space="0" w:color="000000"/>
            </w:tcBorders>
          </w:tcPr>
          <w:p w:rsidR="00EE2429" w:rsidRDefault="00EE2429">
            <w:pPr>
              <w:jc w:val="right"/>
              <w:rPr>
                <w:rFonts w:ascii="Courier New" w:hAnsi="Courier New" w:cs="Courier New"/>
                <w:snapToGrid w:val="0"/>
                <w:color w:val="000000"/>
              </w:rPr>
            </w:pPr>
          </w:p>
        </w:tc>
        <w:tc>
          <w:tcPr>
            <w:tcW w:w="4022" w:type="dxa"/>
            <w:tcBorders>
              <w:top w:val="single" w:sz="6" w:space="0" w:color="auto"/>
              <w:left w:val="single" w:sz="2" w:space="0" w:color="000000"/>
              <w:bottom w:val="single" w:sz="2" w:space="0" w:color="000000"/>
              <w:right w:val="single" w:sz="2" w:space="0" w:color="000000"/>
            </w:tcBorders>
          </w:tcPr>
          <w:p w:rsidR="00EE2429" w:rsidRDefault="00EE2429">
            <w:pPr>
              <w:jc w:val="right"/>
              <w:rPr>
                <w:rFonts w:ascii="Courier New" w:hAnsi="Courier New" w:cs="Courier New"/>
                <w:snapToGrid w:val="0"/>
                <w:color w:val="000000"/>
              </w:rPr>
            </w:pPr>
          </w:p>
        </w:tc>
        <w:tc>
          <w:tcPr>
            <w:tcW w:w="2369" w:type="dxa"/>
            <w:tcBorders>
              <w:top w:val="single" w:sz="6" w:space="0" w:color="auto"/>
              <w:left w:val="single" w:sz="2" w:space="0" w:color="000000"/>
              <w:bottom w:val="single" w:sz="2" w:space="0" w:color="000000"/>
              <w:right w:val="single" w:sz="2" w:space="0" w:color="000000"/>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1986 г.</w:t>
            </w:r>
          </w:p>
        </w:tc>
        <w:tc>
          <w:tcPr>
            <w:tcW w:w="2126" w:type="dxa"/>
            <w:tcBorders>
              <w:top w:val="single" w:sz="6" w:space="0" w:color="auto"/>
              <w:left w:val="single" w:sz="2" w:space="0" w:color="000000"/>
              <w:bottom w:val="single" w:sz="2" w:space="0" w:color="000000"/>
              <w:right w:val="single" w:sz="6" w:space="0" w:color="auto"/>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1988 г.</w:t>
            </w:r>
          </w:p>
        </w:tc>
      </w:tr>
      <w:tr w:rsidR="00EE2429">
        <w:trPr>
          <w:trHeight w:val="307"/>
        </w:trPr>
        <w:tc>
          <w:tcPr>
            <w:tcW w:w="869" w:type="dxa"/>
            <w:tcBorders>
              <w:top w:val="single" w:sz="2" w:space="0" w:color="000000"/>
              <w:left w:val="single" w:sz="6" w:space="0" w:color="auto"/>
              <w:bottom w:val="single" w:sz="2" w:space="0" w:color="000000"/>
              <w:right w:val="single" w:sz="2" w:space="0" w:color="000000"/>
            </w:tcBorders>
          </w:tcPr>
          <w:p w:rsidR="00EE2429" w:rsidRDefault="00EE2429">
            <w:pPr>
              <w:jc w:val="right"/>
              <w:rPr>
                <w:rFonts w:ascii="Courier New" w:hAnsi="Courier New" w:cs="Courier New"/>
                <w:snapToGrid w:val="0"/>
                <w:color w:val="000000"/>
              </w:rPr>
            </w:pPr>
            <w:r>
              <w:rPr>
                <w:rFonts w:ascii="Courier New" w:hAnsi="Courier New" w:cs="Courier New"/>
                <w:snapToGrid w:val="0"/>
                <w:color w:val="000000"/>
              </w:rPr>
              <w:t>1</w:t>
            </w:r>
          </w:p>
        </w:tc>
        <w:tc>
          <w:tcPr>
            <w:tcW w:w="4022" w:type="dxa"/>
            <w:tcBorders>
              <w:top w:val="single" w:sz="2" w:space="0" w:color="000000"/>
              <w:left w:val="single" w:sz="2" w:space="0" w:color="000000"/>
              <w:bottom w:val="single" w:sz="2" w:space="0" w:color="000000"/>
              <w:right w:val="single" w:sz="2" w:space="0" w:color="000000"/>
            </w:tcBorders>
          </w:tcPr>
          <w:p w:rsidR="00EE2429" w:rsidRDefault="00EE2429">
            <w:pPr>
              <w:rPr>
                <w:rFonts w:ascii="Courier New" w:hAnsi="Courier New" w:cs="Courier New"/>
                <w:snapToGrid w:val="0"/>
                <w:color w:val="000000"/>
              </w:rPr>
            </w:pPr>
            <w:r>
              <w:rPr>
                <w:rFonts w:ascii="Courier New" w:hAnsi="Courier New" w:cs="Courier New"/>
                <w:snapToGrid w:val="0"/>
                <w:color w:val="000000"/>
              </w:rPr>
              <w:t>Бельгия</w:t>
            </w:r>
          </w:p>
        </w:tc>
        <w:tc>
          <w:tcPr>
            <w:tcW w:w="2369" w:type="dxa"/>
            <w:tcBorders>
              <w:top w:val="single" w:sz="2" w:space="0" w:color="000000"/>
              <w:left w:val="single" w:sz="2" w:space="0" w:color="000000"/>
              <w:bottom w:val="single" w:sz="2" w:space="0" w:color="000000"/>
              <w:right w:val="single" w:sz="2" w:space="0" w:color="000000"/>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40,8</w:t>
            </w:r>
          </w:p>
        </w:tc>
        <w:tc>
          <w:tcPr>
            <w:tcW w:w="2126" w:type="dxa"/>
            <w:tcBorders>
              <w:top w:val="single" w:sz="2" w:space="0" w:color="000000"/>
              <w:left w:val="single" w:sz="2" w:space="0" w:color="000000"/>
              <w:bottom w:val="single" w:sz="2" w:space="0" w:color="000000"/>
              <w:right w:val="single" w:sz="6" w:space="0" w:color="auto"/>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27</w:t>
            </w:r>
          </w:p>
        </w:tc>
      </w:tr>
      <w:tr w:rsidR="00EE2429">
        <w:trPr>
          <w:trHeight w:val="307"/>
        </w:trPr>
        <w:tc>
          <w:tcPr>
            <w:tcW w:w="869" w:type="dxa"/>
            <w:tcBorders>
              <w:top w:val="single" w:sz="2" w:space="0" w:color="000000"/>
              <w:left w:val="single" w:sz="6" w:space="0" w:color="auto"/>
              <w:bottom w:val="single" w:sz="2" w:space="0" w:color="000000"/>
              <w:right w:val="single" w:sz="2" w:space="0" w:color="000000"/>
            </w:tcBorders>
          </w:tcPr>
          <w:p w:rsidR="00EE2429" w:rsidRDefault="00EE2429">
            <w:pPr>
              <w:jc w:val="right"/>
              <w:rPr>
                <w:rFonts w:ascii="Courier New" w:hAnsi="Courier New" w:cs="Courier New"/>
                <w:snapToGrid w:val="0"/>
                <w:color w:val="000000"/>
              </w:rPr>
            </w:pPr>
            <w:r>
              <w:rPr>
                <w:rFonts w:ascii="Courier New" w:hAnsi="Courier New" w:cs="Courier New"/>
                <w:snapToGrid w:val="0"/>
                <w:color w:val="000000"/>
              </w:rPr>
              <w:t>2</w:t>
            </w:r>
          </w:p>
        </w:tc>
        <w:tc>
          <w:tcPr>
            <w:tcW w:w="4022" w:type="dxa"/>
            <w:tcBorders>
              <w:top w:val="single" w:sz="2" w:space="0" w:color="000000"/>
              <w:left w:val="single" w:sz="2" w:space="0" w:color="000000"/>
              <w:bottom w:val="single" w:sz="2" w:space="0" w:color="000000"/>
              <w:right w:val="single" w:sz="2" w:space="0" w:color="000000"/>
            </w:tcBorders>
          </w:tcPr>
          <w:p w:rsidR="00EE2429" w:rsidRDefault="00EE2429">
            <w:pPr>
              <w:rPr>
                <w:rFonts w:ascii="Courier New" w:hAnsi="Courier New" w:cs="Courier New"/>
                <w:snapToGrid w:val="0"/>
                <w:color w:val="000000"/>
              </w:rPr>
            </w:pPr>
            <w:r>
              <w:rPr>
                <w:rFonts w:ascii="Courier New" w:hAnsi="Courier New" w:cs="Courier New"/>
                <w:snapToGrid w:val="0"/>
                <w:color w:val="000000"/>
              </w:rPr>
              <w:t>Канада</w:t>
            </w:r>
          </w:p>
        </w:tc>
        <w:tc>
          <w:tcPr>
            <w:tcW w:w="2369" w:type="dxa"/>
            <w:tcBorders>
              <w:top w:val="single" w:sz="2" w:space="0" w:color="000000"/>
              <w:left w:val="single" w:sz="2" w:space="0" w:color="000000"/>
              <w:bottom w:val="single" w:sz="2" w:space="0" w:color="000000"/>
              <w:right w:val="single" w:sz="2" w:space="0" w:color="000000"/>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28,6</w:t>
            </w:r>
          </w:p>
        </w:tc>
        <w:tc>
          <w:tcPr>
            <w:tcW w:w="2126" w:type="dxa"/>
            <w:tcBorders>
              <w:top w:val="single" w:sz="2" w:space="0" w:color="000000"/>
              <w:left w:val="single" w:sz="2" w:space="0" w:color="000000"/>
              <w:bottom w:val="single" w:sz="2" w:space="0" w:color="000000"/>
              <w:right w:val="single" w:sz="6" w:space="0" w:color="auto"/>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44</w:t>
            </w:r>
          </w:p>
        </w:tc>
      </w:tr>
      <w:tr w:rsidR="00EE2429">
        <w:trPr>
          <w:trHeight w:val="307"/>
        </w:trPr>
        <w:tc>
          <w:tcPr>
            <w:tcW w:w="869" w:type="dxa"/>
            <w:tcBorders>
              <w:top w:val="single" w:sz="2" w:space="0" w:color="000000"/>
              <w:left w:val="single" w:sz="6" w:space="0" w:color="auto"/>
              <w:bottom w:val="single" w:sz="2" w:space="0" w:color="000000"/>
              <w:right w:val="single" w:sz="2" w:space="0" w:color="000000"/>
            </w:tcBorders>
          </w:tcPr>
          <w:p w:rsidR="00EE2429" w:rsidRDefault="00EE2429">
            <w:pPr>
              <w:jc w:val="right"/>
              <w:rPr>
                <w:rFonts w:ascii="Courier New" w:hAnsi="Courier New" w:cs="Courier New"/>
                <w:snapToGrid w:val="0"/>
                <w:color w:val="000000"/>
              </w:rPr>
            </w:pPr>
            <w:r>
              <w:rPr>
                <w:rFonts w:ascii="Courier New" w:hAnsi="Courier New" w:cs="Courier New"/>
                <w:snapToGrid w:val="0"/>
                <w:color w:val="000000"/>
              </w:rPr>
              <w:t>3</w:t>
            </w:r>
          </w:p>
        </w:tc>
        <w:tc>
          <w:tcPr>
            <w:tcW w:w="4022" w:type="dxa"/>
            <w:tcBorders>
              <w:top w:val="single" w:sz="2" w:space="0" w:color="000000"/>
              <w:left w:val="single" w:sz="2" w:space="0" w:color="000000"/>
              <w:bottom w:val="single" w:sz="2" w:space="0" w:color="000000"/>
              <w:right w:val="single" w:sz="2" w:space="0" w:color="000000"/>
            </w:tcBorders>
          </w:tcPr>
          <w:p w:rsidR="00EE2429" w:rsidRDefault="00EE2429">
            <w:pPr>
              <w:rPr>
                <w:rFonts w:ascii="Courier New" w:hAnsi="Courier New" w:cs="Courier New"/>
                <w:snapToGrid w:val="0"/>
                <w:color w:val="000000"/>
              </w:rPr>
            </w:pPr>
            <w:r>
              <w:rPr>
                <w:rFonts w:ascii="Courier New" w:hAnsi="Courier New" w:cs="Courier New"/>
                <w:snapToGrid w:val="0"/>
                <w:color w:val="000000"/>
              </w:rPr>
              <w:t>Франция</w:t>
            </w:r>
          </w:p>
        </w:tc>
        <w:tc>
          <w:tcPr>
            <w:tcW w:w="2369" w:type="dxa"/>
            <w:tcBorders>
              <w:top w:val="single" w:sz="2" w:space="0" w:color="000000"/>
              <w:left w:val="single" w:sz="2" w:space="0" w:color="000000"/>
              <w:bottom w:val="single" w:sz="2" w:space="0" w:color="000000"/>
              <w:right w:val="single" w:sz="2" w:space="0" w:color="000000"/>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38,4</w:t>
            </w:r>
          </w:p>
        </w:tc>
        <w:tc>
          <w:tcPr>
            <w:tcW w:w="2126" w:type="dxa"/>
            <w:tcBorders>
              <w:top w:val="single" w:sz="2" w:space="0" w:color="000000"/>
              <w:left w:val="single" w:sz="2" w:space="0" w:color="000000"/>
              <w:bottom w:val="single" w:sz="2" w:space="0" w:color="000000"/>
              <w:right w:val="single" w:sz="6" w:space="0" w:color="auto"/>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40</w:t>
            </w:r>
          </w:p>
        </w:tc>
      </w:tr>
      <w:tr w:rsidR="00EE2429">
        <w:trPr>
          <w:trHeight w:val="307"/>
        </w:trPr>
        <w:tc>
          <w:tcPr>
            <w:tcW w:w="869" w:type="dxa"/>
            <w:tcBorders>
              <w:top w:val="single" w:sz="2" w:space="0" w:color="000000"/>
              <w:left w:val="single" w:sz="6" w:space="0" w:color="auto"/>
              <w:bottom w:val="single" w:sz="2" w:space="0" w:color="000000"/>
              <w:right w:val="single" w:sz="2" w:space="0" w:color="000000"/>
            </w:tcBorders>
          </w:tcPr>
          <w:p w:rsidR="00EE2429" w:rsidRDefault="00EE2429">
            <w:pPr>
              <w:jc w:val="right"/>
              <w:rPr>
                <w:rFonts w:ascii="Courier New" w:hAnsi="Courier New" w:cs="Courier New"/>
                <w:snapToGrid w:val="0"/>
                <w:color w:val="000000"/>
              </w:rPr>
            </w:pPr>
            <w:r>
              <w:rPr>
                <w:rFonts w:ascii="Courier New" w:hAnsi="Courier New" w:cs="Courier New"/>
                <w:snapToGrid w:val="0"/>
                <w:color w:val="000000"/>
              </w:rPr>
              <w:t>4</w:t>
            </w:r>
          </w:p>
        </w:tc>
        <w:tc>
          <w:tcPr>
            <w:tcW w:w="4022" w:type="dxa"/>
            <w:tcBorders>
              <w:top w:val="single" w:sz="2" w:space="0" w:color="000000"/>
              <w:left w:val="single" w:sz="2" w:space="0" w:color="000000"/>
              <w:bottom w:val="single" w:sz="2" w:space="0" w:color="000000"/>
              <w:right w:val="single" w:sz="2" w:space="0" w:color="000000"/>
            </w:tcBorders>
          </w:tcPr>
          <w:p w:rsidR="00EE2429" w:rsidRDefault="00EE2429">
            <w:pPr>
              <w:rPr>
                <w:rFonts w:ascii="Courier New" w:hAnsi="Courier New" w:cs="Courier New"/>
                <w:snapToGrid w:val="0"/>
                <w:color w:val="000000"/>
              </w:rPr>
            </w:pPr>
            <w:r>
              <w:rPr>
                <w:rFonts w:ascii="Courier New" w:hAnsi="Courier New" w:cs="Courier New"/>
                <w:snapToGrid w:val="0"/>
                <w:color w:val="000000"/>
              </w:rPr>
              <w:t>Италия</w:t>
            </w:r>
          </w:p>
        </w:tc>
        <w:tc>
          <w:tcPr>
            <w:tcW w:w="2369" w:type="dxa"/>
            <w:tcBorders>
              <w:top w:val="single" w:sz="2" w:space="0" w:color="000000"/>
              <w:left w:val="single" w:sz="2" w:space="0" w:color="000000"/>
              <w:bottom w:val="single" w:sz="2" w:space="0" w:color="000000"/>
              <w:right w:val="single" w:sz="2" w:space="0" w:color="000000"/>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48,2</w:t>
            </w:r>
          </w:p>
        </w:tc>
        <w:tc>
          <w:tcPr>
            <w:tcW w:w="2126" w:type="dxa"/>
            <w:tcBorders>
              <w:top w:val="single" w:sz="2" w:space="0" w:color="000000"/>
              <w:left w:val="single" w:sz="2" w:space="0" w:color="000000"/>
              <w:bottom w:val="single" w:sz="2" w:space="0" w:color="000000"/>
              <w:right w:val="single" w:sz="6" w:space="0" w:color="auto"/>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48</w:t>
            </w:r>
          </w:p>
        </w:tc>
      </w:tr>
      <w:tr w:rsidR="00EE2429">
        <w:trPr>
          <w:trHeight w:val="307"/>
        </w:trPr>
        <w:tc>
          <w:tcPr>
            <w:tcW w:w="869" w:type="dxa"/>
            <w:tcBorders>
              <w:top w:val="single" w:sz="2" w:space="0" w:color="000000"/>
              <w:left w:val="single" w:sz="6" w:space="0" w:color="auto"/>
              <w:bottom w:val="single" w:sz="2" w:space="0" w:color="000000"/>
              <w:right w:val="single" w:sz="2" w:space="0" w:color="000000"/>
            </w:tcBorders>
          </w:tcPr>
          <w:p w:rsidR="00EE2429" w:rsidRDefault="00EE2429">
            <w:pPr>
              <w:jc w:val="right"/>
              <w:rPr>
                <w:rFonts w:ascii="Courier New" w:hAnsi="Courier New" w:cs="Courier New"/>
                <w:snapToGrid w:val="0"/>
                <w:color w:val="000000"/>
              </w:rPr>
            </w:pPr>
            <w:r>
              <w:rPr>
                <w:rFonts w:ascii="Courier New" w:hAnsi="Courier New" w:cs="Courier New"/>
                <w:snapToGrid w:val="0"/>
                <w:color w:val="000000"/>
              </w:rPr>
              <w:t>5</w:t>
            </w:r>
          </w:p>
        </w:tc>
        <w:tc>
          <w:tcPr>
            <w:tcW w:w="4022" w:type="dxa"/>
            <w:tcBorders>
              <w:top w:val="single" w:sz="2" w:space="0" w:color="000000"/>
              <w:left w:val="single" w:sz="2" w:space="0" w:color="000000"/>
              <w:bottom w:val="single" w:sz="2" w:space="0" w:color="000000"/>
              <w:right w:val="single" w:sz="2" w:space="0" w:color="000000"/>
            </w:tcBorders>
          </w:tcPr>
          <w:p w:rsidR="00EE2429" w:rsidRDefault="00EE2429">
            <w:pPr>
              <w:rPr>
                <w:rFonts w:ascii="Courier New" w:hAnsi="Courier New" w:cs="Courier New"/>
                <w:snapToGrid w:val="0"/>
                <w:color w:val="000000"/>
              </w:rPr>
            </w:pPr>
            <w:r>
              <w:rPr>
                <w:rFonts w:ascii="Courier New" w:hAnsi="Courier New" w:cs="Courier New"/>
                <w:snapToGrid w:val="0"/>
                <w:color w:val="000000"/>
              </w:rPr>
              <w:t>Япония</w:t>
            </w:r>
          </w:p>
        </w:tc>
        <w:tc>
          <w:tcPr>
            <w:tcW w:w="2369" w:type="dxa"/>
            <w:tcBorders>
              <w:top w:val="single" w:sz="2" w:space="0" w:color="000000"/>
              <w:left w:val="single" w:sz="2" w:space="0" w:color="000000"/>
              <w:bottom w:val="single" w:sz="2" w:space="0" w:color="000000"/>
              <w:right w:val="single" w:sz="2" w:space="0" w:color="000000"/>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52,6</w:t>
            </w:r>
          </w:p>
        </w:tc>
        <w:tc>
          <w:tcPr>
            <w:tcW w:w="2126" w:type="dxa"/>
            <w:tcBorders>
              <w:top w:val="single" w:sz="2" w:space="0" w:color="000000"/>
              <w:left w:val="single" w:sz="2" w:space="0" w:color="000000"/>
              <w:bottom w:val="single" w:sz="2" w:space="0" w:color="000000"/>
              <w:right w:val="single" w:sz="6" w:space="0" w:color="auto"/>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44 - 56*</w:t>
            </w:r>
          </w:p>
        </w:tc>
      </w:tr>
      <w:tr w:rsidR="00EE2429">
        <w:trPr>
          <w:trHeight w:val="307"/>
        </w:trPr>
        <w:tc>
          <w:tcPr>
            <w:tcW w:w="869" w:type="dxa"/>
            <w:tcBorders>
              <w:top w:val="single" w:sz="2" w:space="0" w:color="000000"/>
              <w:left w:val="single" w:sz="6" w:space="0" w:color="auto"/>
              <w:bottom w:val="single" w:sz="2" w:space="0" w:color="000000"/>
              <w:right w:val="single" w:sz="2" w:space="0" w:color="000000"/>
            </w:tcBorders>
          </w:tcPr>
          <w:p w:rsidR="00EE2429" w:rsidRDefault="00EE2429">
            <w:pPr>
              <w:jc w:val="right"/>
              <w:rPr>
                <w:rFonts w:ascii="Courier New" w:hAnsi="Courier New" w:cs="Courier New"/>
                <w:snapToGrid w:val="0"/>
                <w:color w:val="000000"/>
              </w:rPr>
            </w:pPr>
            <w:r>
              <w:rPr>
                <w:rFonts w:ascii="Courier New" w:hAnsi="Courier New" w:cs="Courier New"/>
                <w:snapToGrid w:val="0"/>
                <w:color w:val="000000"/>
              </w:rPr>
              <w:t>6</w:t>
            </w:r>
          </w:p>
        </w:tc>
        <w:tc>
          <w:tcPr>
            <w:tcW w:w="4022" w:type="dxa"/>
            <w:tcBorders>
              <w:top w:val="single" w:sz="2" w:space="0" w:color="000000"/>
              <w:left w:val="single" w:sz="2" w:space="0" w:color="000000"/>
              <w:bottom w:val="single" w:sz="2" w:space="0" w:color="000000"/>
              <w:right w:val="single" w:sz="2" w:space="0" w:color="000000"/>
            </w:tcBorders>
          </w:tcPr>
          <w:p w:rsidR="00EE2429" w:rsidRDefault="00EE2429">
            <w:pPr>
              <w:rPr>
                <w:rFonts w:ascii="Courier New" w:hAnsi="Courier New" w:cs="Courier New"/>
                <w:snapToGrid w:val="0"/>
                <w:color w:val="000000"/>
              </w:rPr>
            </w:pPr>
            <w:r>
              <w:rPr>
                <w:rFonts w:ascii="Courier New" w:hAnsi="Courier New" w:cs="Courier New"/>
                <w:snapToGrid w:val="0"/>
                <w:color w:val="000000"/>
              </w:rPr>
              <w:t>Люксембург</w:t>
            </w:r>
          </w:p>
        </w:tc>
        <w:tc>
          <w:tcPr>
            <w:tcW w:w="2369" w:type="dxa"/>
            <w:tcBorders>
              <w:top w:val="single" w:sz="2" w:space="0" w:color="000000"/>
              <w:left w:val="single" w:sz="2" w:space="0" w:color="000000"/>
              <w:bottom w:val="single" w:sz="2" w:space="0" w:color="000000"/>
              <w:right w:val="single" w:sz="2" w:space="0" w:color="000000"/>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44,6</w:t>
            </w:r>
          </w:p>
        </w:tc>
        <w:tc>
          <w:tcPr>
            <w:tcW w:w="2126" w:type="dxa"/>
            <w:tcBorders>
              <w:top w:val="single" w:sz="2" w:space="0" w:color="000000"/>
              <w:left w:val="single" w:sz="2" w:space="0" w:color="000000"/>
              <w:bottom w:val="single" w:sz="2" w:space="0" w:color="000000"/>
              <w:right w:val="single" w:sz="6" w:space="0" w:color="auto"/>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45</w:t>
            </w:r>
          </w:p>
        </w:tc>
      </w:tr>
      <w:tr w:rsidR="00EE2429">
        <w:trPr>
          <w:trHeight w:val="307"/>
        </w:trPr>
        <w:tc>
          <w:tcPr>
            <w:tcW w:w="869" w:type="dxa"/>
            <w:tcBorders>
              <w:top w:val="single" w:sz="2" w:space="0" w:color="000000"/>
              <w:left w:val="single" w:sz="6" w:space="0" w:color="auto"/>
              <w:bottom w:val="single" w:sz="2" w:space="0" w:color="000000"/>
              <w:right w:val="single" w:sz="2" w:space="0" w:color="000000"/>
            </w:tcBorders>
          </w:tcPr>
          <w:p w:rsidR="00EE2429" w:rsidRDefault="00EE2429">
            <w:pPr>
              <w:jc w:val="right"/>
              <w:rPr>
                <w:rFonts w:ascii="Courier New" w:hAnsi="Courier New" w:cs="Courier New"/>
                <w:snapToGrid w:val="0"/>
                <w:color w:val="000000"/>
              </w:rPr>
            </w:pPr>
            <w:r>
              <w:rPr>
                <w:rFonts w:ascii="Courier New" w:hAnsi="Courier New" w:cs="Courier New"/>
                <w:snapToGrid w:val="0"/>
                <w:color w:val="000000"/>
              </w:rPr>
              <w:t>7</w:t>
            </w:r>
          </w:p>
        </w:tc>
        <w:tc>
          <w:tcPr>
            <w:tcW w:w="4022" w:type="dxa"/>
            <w:tcBorders>
              <w:top w:val="single" w:sz="2" w:space="0" w:color="000000"/>
              <w:left w:val="single" w:sz="2" w:space="0" w:color="000000"/>
              <w:bottom w:val="single" w:sz="2" w:space="0" w:color="000000"/>
              <w:right w:val="single" w:sz="2" w:space="0" w:color="000000"/>
            </w:tcBorders>
          </w:tcPr>
          <w:p w:rsidR="00EE2429" w:rsidRDefault="00EE2429">
            <w:pPr>
              <w:rPr>
                <w:rFonts w:ascii="Courier New" w:hAnsi="Courier New" w:cs="Courier New"/>
                <w:snapToGrid w:val="0"/>
                <w:color w:val="000000"/>
              </w:rPr>
            </w:pPr>
            <w:r>
              <w:rPr>
                <w:rFonts w:ascii="Courier New" w:hAnsi="Courier New" w:cs="Courier New"/>
                <w:snapToGrid w:val="0"/>
                <w:color w:val="000000"/>
              </w:rPr>
              <w:t>Голландия</w:t>
            </w:r>
          </w:p>
        </w:tc>
        <w:tc>
          <w:tcPr>
            <w:tcW w:w="2369" w:type="dxa"/>
            <w:tcBorders>
              <w:top w:val="single" w:sz="2" w:space="0" w:color="000000"/>
              <w:left w:val="single" w:sz="2" w:space="0" w:color="000000"/>
              <w:bottom w:val="single" w:sz="2" w:space="0" w:color="000000"/>
              <w:right w:val="single" w:sz="2" w:space="0" w:color="000000"/>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48,0</w:t>
            </w:r>
          </w:p>
        </w:tc>
        <w:tc>
          <w:tcPr>
            <w:tcW w:w="2126" w:type="dxa"/>
            <w:tcBorders>
              <w:top w:val="single" w:sz="2" w:space="0" w:color="000000"/>
              <w:left w:val="single" w:sz="2" w:space="0" w:color="000000"/>
              <w:bottom w:val="single" w:sz="2" w:space="0" w:color="000000"/>
              <w:right w:val="single" w:sz="6" w:space="0" w:color="auto"/>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35</w:t>
            </w:r>
          </w:p>
        </w:tc>
      </w:tr>
      <w:tr w:rsidR="00EE2429">
        <w:trPr>
          <w:trHeight w:val="307"/>
        </w:trPr>
        <w:tc>
          <w:tcPr>
            <w:tcW w:w="869" w:type="dxa"/>
            <w:tcBorders>
              <w:top w:val="single" w:sz="2" w:space="0" w:color="000000"/>
              <w:left w:val="single" w:sz="6" w:space="0" w:color="auto"/>
              <w:bottom w:val="single" w:sz="2" w:space="0" w:color="000000"/>
              <w:right w:val="single" w:sz="2" w:space="0" w:color="000000"/>
            </w:tcBorders>
          </w:tcPr>
          <w:p w:rsidR="00EE2429" w:rsidRDefault="00EE2429">
            <w:pPr>
              <w:jc w:val="right"/>
              <w:rPr>
                <w:rFonts w:ascii="Courier New" w:hAnsi="Courier New" w:cs="Courier New"/>
                <w:snapToGrid w:val="0"/>
                <w:color w:val="000000"/>
              </w:rPr>
            </w:pPr>
            <w:r>
              <w:rPr>
                <w:rFonts w:ascii="Courier New" w:hAnsi="Courier New" w:cs="Courier New"/>
                <w:snapToGrid w:val="0"/>
                <w:color w:val="000000"/>
              </w:rPr>
              <w:t>8</w:t>
            </w:r>
          </w:p>
        </w:tc>
        <w:tc>
          <w:tcPr>
            <w:tcW w:w="4022" w:type="dxa"/>
            <w:tcBorders>
              <w:top w:val="single" w:sz="2" w:space="0" w:color="000000"/>
              <w:left w:val="single" w:sz="2" w:space="0" w:color="000000"/>
              <w:bottom w:val="single" w:sz="2" w:space="0" w:color="000000"/>
              <w:right w:val="single" w:sz="2" w:space="0" w:color="000000"/>
            </w:tcBorders>
          </w:tcPr>
          <w:p w:rsidR="00EE2429" w:rsidRDefault="00EE2429">
            <w:pPr>
              <w:rPr>
                <w:rFonts w:ascii="Courier New" w:hAnsi="Courier New" w:cs="Courier New"/>
                <w:snapToGrid w:val="0"/>
                <w:color w:val="000000"/>
              </w:rPr>
            </w:pPr>
            <w:r>
              <w:rPr>
                <w:rFonts w:ascii="Courier New" w:hAnsi="Courier New" w:cs="Courier New"/>
                <w:snapToGrid w:val="0"/>
                <w:color w:val="000000"/>
              </w:rPr>
              <w:t>Швейцария</w:t>
            </w:r>
          </w:p>
        </w:tc>
        <w:tc>
          <w:tcPr>
            <w:tcW w:w="2369" w:type="dxa"/>
            <w:tcBorders>
              <w:top w:val="single" w:sz="2" w:space="0" w:color="000000"/>
              <w:left w:val="single" w:sz="2" w:space="0" w:color="000000"/>
              <w:bottom w:val="single" w:sz="2" w:space="0" w:color="000000"/>
              <w:right w:val="single" w:sz="2" w:space="0" w:color="000000"/>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28,5</w:t>
            </w:r>
          </w:p>
        </w:tc>
        <w:tc>
          <w:tcPr>
            <w:tcW w:w="2126" w:type="dxa"/>
            <w:tcBorders>
              <w:top w:val="single" w:sz="2" w:space="0" w:color="000000"/>
              <w:left w:val="single" w:sz="2" w:space="0" w:color="000000"/>
              <w:bottom w:val="single" w:sz="2" w:space="0" w:color="000000"/>
              <w:right w:val="single" w:sz="6" w:space="0" w:color="auto"/>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21 - 26*</w:t>
            </w:r>
          </w:p>
        </w:tc>
      </w:tr>
      <w:tr w:rsidR="00EE2429">
        <w:trPr>
          <w:trHeight w:val="307"/>
        </w:trPr>
        <w:tc>
          <w:tcPr>
            <w:tcW w:w="869" w:type="dxa"/>
            <w:tcBorders>
              <w:top w:val="single" w:sz="2" w:space="0" w:color="000000"/>
              <w:left w:val="single" w:sz="6" w:space="0" w:color="auto"/>
              <w:bottom w:val="single" w:sz="2" w:space="0" w:color="000000"/>
              <w:right w:val="single" w:sz="2" w:space="0" w:color="000000"/>
            </w:tcBorders>
          </w:tcPr>
          <w:p w:rsidR="00EE2429" w:rsidRDefault="00EE2429">
            <w:pPr>
              <w:jc w:val="right"/>
              <w:rPr>
                <w:rFonts w:ascii="Courier New" w:hAnsi="Courier New" w:cs="Courier New"/>
                <w:snapToGrid w:val="0"/>
                <w:color w:val="000000"/>
              </w:rPr>
            </w:pPr>
            <w:r>
              <w:rPr>
                <w:rFonts w:ascii="Courier New" w:hAnsi="Courier New" w:cs="Courier New"/>
                <w:snapToGrid w:val="0"/>
                <w:color w:val="000000"/>
              </w:rPr>
              <w:t>9</w:t>
            </w:r>
          </w:p>
        </w:tc>
        <w:tc>
          <w:tcPr>
            <w:tcW w:w="4022" w:type="dxa"/>
            <w:tcBorders>
              <w:top w:val="single" w:sz="2" w:space="0" w:color="000000"/>
              <w:left w:val="single" w:sz="2" w:space="0" w:color="000000"/>
              <w:bottom w:val="single" w:sz="2" w:space="0" w:color="000000"/>
              <w:right w:val="single" w:sz="2" w:space="0" w:color="000000"/>
            </w:tcBorders>
          </w:tcPr>
          <w:p w:rsidR="00EE2429" w:rsidRDefault="00EE2429">
            <w:pPr>
              <w:rPr>
                <w:rFonts w:ascii="Courier New" w:hAnsi="Courier New" w:cs="Courier New"/>
                <w:snapToGrid w:val="0"/>
                <w:color w:val="000000"/>
              </w:rPr>
            </w:pPr>
            <w:r>
              <w:rPr>
                <w:rFonts w:ascii="Courier New" w:hAnsi="Courier New" w:cs="Courier New"/>
                <w:snapToGrid w:val="0"/>
                <w:color w:val="000000"/>
              </w:rPr>
              <w:t>Великобритания</w:t>
            </w:r>
          </w:p>
        </w:tc>
        <w:tc>
          <w:tcPr>
            <w:tcW w:w="2369" w:type="dxa"/>
            <w:tcBorders>
              <w:top w:val="single" w:sz="2" w:space="0" w:color="000000"/>
              <w:left w:val="single" w:sz="2" w:space="0" w:color="000000"/>
              <w:bottom w:val="single" w:sz="2" w:space="0" w:color="000000"/>
              <w:right w:val="single" w:sz="2" w:space="0" w:color="000000"/>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35,6</w:t>
            </w:r>
          </w:p>
        </w:tc>
        <w:tc>
          <w:tcPr>
            <w:tcW w:w="2126" w:type="dxa"/>
            <w:tcBorders>
              <w:top w:val="single" w:sz="2" w:space="0" w:color="000000"/>
              <w:left w:val="single" w:sz="2" w:space="0" w:color="000000"/>
              <w:bottom w:val="single" w:sz="2" w:space="0" w:color="000000"/>
              <w:right w:val="single" w:sz="6" w:space="0" w:color="auto"/>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35</w:t>
            </w:r>
          </w:p>
        </w:tc>
      </w:tr>
      <w:tr w:rsidR="00EE2429">
        <w:trPr>
          <w:trHeight w:val="307"/>
        </w:trPr>
        <w:tc>
          <w:tcPr>
            <w:tcW w:w="869" w:type="dxa"/>
            <w:tcBorders>
              <w:top w:val="single" w:sz="2" w:space="0" w:color="000000"/>
              <w:left w:val="single" w:sz="6" w:space="0" w:color="auto"/>
              <w:bottom w:val="single" w:sz="2" w:space="0" w:color="000000"/>
              <w:right w:val="single" w:sz="2" w:space="0" w:color="000000"/>
            </w:tcBorders>
          </w:tcPr>
          <w:p w:rsidR="00EE2429" w:rsidRDefault="00EE2429">
            <w:pPr>
              <w:jc w:val="right"/>
              <w:rPr>
                <w:rFonts w:ascii="Courier New" w:hAnsi="Courier New" w:cs="Courier New"/>
                <w:snapToGrid w:val="0"/>
                <w:color w:val="000000"/>
              </w:rPr>
            </w:pPr>
            <w:r>
              <w:rPr>
                <w:rFonts w:ascii="Courier New" w:hAnsi="Courier New" w:cs="Courier New"/>
                <w:snapToGrid w:val="0"/>
                <w:color w:val="000000"/>
              </w:rPr>
              <w:t>10</w:t>
            </w:r>
          </w:p>
        </w:tc>
        <w:tc>
          <w:tcPr>
            <w:tcW w:w="4022" w:type="dxa"/>
            <w:tcBorders>
              <w:top w:val="single" w:sz="2" w:space="0" w:color="000000"/>
              <w:left w:val="single" w:sz="2" w:space="0" w:color="000000"/>
              <w:bottom w:val="single" w:sz="2" w:space="0" w:color="000000"/>
              <w:right w:val="single" w:sz="2" w:space="0" w:color="000000"/>
            </w:tcBorders>
          </w:tcPr>
          <w:p w:rsidR="00EE2429" w:rsidRDefault="00EE2429">
            <w:pPr>
              <w:rPr>
                <w:rFonts w:ascii="Courier New" w:hAnsi="Courier New" w:cs="Courier New"/>
                <w:snapToGrid w:val="0"/>
                <w:color w:val="000000"/>
              </w:rPr>
            </w:pPr>
            <w:r>
              <w:rPr>
                <w:rFonts w:ascii="Courier New" w:hAnsi="Courier New" w:cs="Courier New"/>
                <w:snapToGrid w:val="0"/>
                <w:color w:val="000000"/>
              </w:rPr>
              <w:t>США</w:t>
            </w:r>
          </w:p>
        </w:tc>
        <w:tc>
          <w:tcPr>
            <w:tcW w:w="2369" w:type="dxa"/>
            <w:tcBorders>
              <w:top w:val="single" w:sz="2" w:space="0" w:color="000000"/>
              <w:left w:val="single" w:sz="2" w:space="0" w:color="000000"/>
              <w:bottom w:val="single" w:sz="2" w:space="0" w:color="000000"/>
              <w:right w:val="single" w:sz="2" w:space="0" w:color="000000"/>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24,1</w:t>
            </w:r>
          </w:p>
        </w:tc>
        <w:tc>
          <w:tcPr>
            <w:tcW w:w="2126" w:type="dxa"/>
            <w:tcBorders>
              <w:top w:val="single" w:sz="2" w:space="0" w:color="000000"/>
              <w:left w:val="single" w:sz="2" w:space="0" w:color="000000"/>
              <w:bottom w:val="single" w:sz="2" w:space="0" w:color="000000"/>
              <w:right w:val="single" w:sz="6" w:space="0" w:color="auto"/>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28</w:t>
            </w:r>
          </w:p>
        </w:tc>
      </w:tr>
      <w:tr w:rsidR="00EE2429">
        <w:trPr>
          <w:trHeight w:val="307"/>
        </w:trPr>
        <w:tc>
          <w:tcPr>
            <w:tcW w:w="869" w:type="dxa"/>
            <w:tcBorders>
              <w:top w:val="single" w:sz="2" w:space="0" w:color="000000"/>
              <w:left w:val="single" w:sz="6" w:space="0" w:color="auto"/>
              <w:bottom w:val="single" w:sz="6" w:space="0" w:color="auto"/>
              <w:right w:val="single" w:sz="2" w:space="0" w:color="000000"/>
            </w:tcBorders>
          </w:tcPr>
          <w:p w:rsidR="00EE2429" w:rsidRDefault="00EE2429">
            <w:pPr>
              <w:jc w:val="right"/>
              <w:rPr>
                <w:rFonts w:ascii="Courier New" w:hAnsi="Courier New" w:cs="Courier New"/>
                <w:snapToGrid w:val="0"/>
                <w:color w:val="000000"/>
              </w:rPr>
            </w:pPr>
            <w:r>
              <w:rPr>
                <w:rFonts w:ascii="Courier New" w:hAnsi="Courier New" w:cs="Courier New"/>
                <w:snapToGrid w:val="0"/>
                <w:color w:val="000000"/>
              </w:rPr>
              <w:t>11</w:t>
            </w:r>
          </w:p>
        </w:tc>
        <w:tc>
          <w:tcPr>
            <w:tcW w:w="4022" w:type="dxa"/>
            <w:tcBorders>
              <w:top w:val="single" w:sz="2" w:space="0" w:color="000000"/>
              <w:left w:val="single" w:sz="2" w:space="0" w:color="000000"/>
              <w:bottom w:val="single" w:sz="6" w:space="0" w:color="auto"/>
              <w:right w:val="single" w:sz="2" w:space="0" w:color="000000"/>
            </w:tcBorders>
          </w:tcPr>
          <w:p w:rsidR="00EE2429" w:rsidRDefault="00EE2429">
            <w:pPr>
              <w:rPr>
                <w:rFonts w:ascii="Courier New" w:hAnsi="Courier New" w:cs="Courier New"/>
                <w:snapToGrid w:val="0"/>
                <w:color w:val="000000"/>
              </w:rPr>
            </w:pPr>
            <w:r>
              <w:rPr>
                <w:rFonts w:ascii="Courier New" w:hAnsi="Courier New" w:cs="Courier New"/>
                <w:snapToGrid w:val="0"/>
                <w:color w:val="000000"/>
              </w:rPr>
              <w:t>Германия</w:t>
            </w:r>
          </w:p>
        </w:tc>
        <w:tc>
          <w:tcPr>
            <w:tcW w:w="2369" w:type="dxa"/>
            <w:tcBorders>
              <w:top w:val="single" w:sz="2" w:space="0" w:color="000000"/>
              <w:left w:val="single" w:sz="2" w:space="0" w:color="000000"/>
              <w:bottom w:val="single" w:sz="6" w:space="0" w:color="auto"/>
              <w:right w:val="single" w:sz="2" w:space="0" w:color="000000"/>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55,2</w:t>
            </w:r>
          </w:p>
        </w:tc>
        <w:tc>
          <w:tcPr>
            <w:tcW w:w="2126" w:type="dxa"/>
            <w:tcBorders>
              <w:top w:val="single" w:sz="2" w:space="0" w:color="000000"/>
              <w:left w:val="single" w:sz="2" w:space="0" w:color="000000"/>
              <w:bottom w:val="single" w:sz="6" w:space="0" w:color="auto"/>
              <w:right w:val="single" w:sz="6" w:space="0" w:color="auto"/>
            </w:tcBorders>
          </w:tcPr>
          <w:p w:rsidR="00EE2429" w:rsidRDefault="00EE2429">
            <w:pPr>
              <w:jc w:val="center"/>
              <w:rPr>
                <w:rFonts w:ascii="Courier New" w:hAnsi="Courier New" w:cs="Courier New"/>
                <w:snapToGrid w:val="0"/>
                <w:color w:val="000000"/>
              </w:rPr>
            </w:pPr>
            <w:r>
              <w:rPr>
                <w:rFonts w:ascii="Courier New" w:hAnsi="Courier New" w:cs="Courier New"/>
                <w:snapToGrid w:val="0"/>
                <w:color w:val="000000"/>
              </w:rPr>
              <w:t>49 - 60*</w:t>
            </w:r>
          </w:p>
        </w:tc>
      </w:tr>
    </w:tbl>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i/>
          <w:u w:val="none"/>
        </w:rPr>
      </w:pPr>
      <w:r>
        <w:rPr>
          <w:rFonts w:ascii="Courier New" w:hAnsi="Courier New" w:cs="Courier New"/>
          <w:i/>
          <w:u w:val="none"/>
        </w:rPr>
        <w:t>Примечание: * Ставка налогообложения зависит от ставок местных налогов, политики выплаты банками дивидендов и муниципальных ставок налога с продаж.</w:t>
      </w:r>
    </w:p>
    <w:p w:rsidR="00EE2429" w:rsidRDefault="00EE2429">
      <w:pPr>
        <w:pStyle w:val="a5"/>
        <w:ind w:firstLine="0"/>
        <w:rPr>
          <w:rFonts w:ascii="Courier New" w:hAnsi="Courier New" w:cs="Courier New"/>
          <w:i/>
          <w:u w:val="none"/>
        </w:rPr>
      </w:pPr>
    </w:p>
    <w:p w:rsidR="00EE2429" w:rsidRDefault="00EE2429">
      <w:pPr>
        <w:pStyle w:val="a5"/>
        <w:ind w:firstLine="0"/>
        <w:rPr>
          <w:rFonts w:ascii="Courier New" w:hAnsi="Courier New" w:cs="Courier New"/>
          <w:u w:val="none"/>
        </w:rPr>
      </w:pPr>
      <w:r>
        <w:rPr>
          <w:rFonts w:ascii="Courier New" w:hAnsi="Courier New" w:cs="Courier New"/>
          <w:u w:val="none"/>
        </w:rPr>
        <w:t>Так, например, в Японии банки уплачивают следующие налоги:</w:t>
      </w:r>
    </w:p>
    <w:p w:rsidR="00EE2429" w:rsidRDefault="00EE2429">
      <w:pPr>
        <w:pStyle w:val="a5"/>
        <w:numPr>
          <w:ilvl w:val="0"/>
          <w:numId w:val="9"/>
        </w:numPr>
        <w:rPr>
          <w:rFonts w:ascii="Courier New" w:hAnsi="Courier New" w:cs="Courier New"/>
          <w:u w:val="none"/>
        </w:rPr>
      </w:pPr>
      <w:r>
        <w:rPr>
          <w:rFonts w:ascii="Courier New" w:hAnsi="Courier New" w:cs="Courier New"/>
          <w:u w:val="none"/>
        </w:rPr>
        <w:t>корпоративный налог на прибыль (37,5%);</w:t>
      </w:r>
    </w:p>
    <w:p w:rsidR="00EE2429" w:rsidRDefault="00EE2429">
      <w:pPr>
        <w:pStyle w:val="a5"/>
        <w:numPr>
          <w:ilvl w:val="0"/>
          <w:numId w:val="9"/>
        </w:numPr>
        <w:rPr>
          <w:rFonts w:ascii="Courier New" w:hAnsi="Courier New" w:cs="Courier New"/>
          <w:i/>
          <w:u w:val="none"/>
        </w:rPr>
      </w:pPr>
      <w:r>
        <w:rPr>
          <w:rFonts w:ascii="Courier New" w:hAnsi="Courier New" w:cs="Courier New"/>
          <w:u w:val="none"/>
        </w:rPr>
        <w:t>местный налог на прибыль (12,6%);</w:t>
      </w:r>
    </w:p>
    <w:p w:rsidR="00EE2429" w:rsidRDefault="00EE2429">
      <w:pPr>
        <w:pStyle w:val="a5"/>
        <w:numPr>
          <w:ilvl w:val="0"/>
          <w:numId w:val="9"/>
        </w:numPr>
        <w:rPr>
          <w:rFonts w:ascii="Courier New" w:hAnsi="Courier New" w:cs="Courier New"/>
          <w:i/>
          <w:u w:val="none"/>
        </w:rPr>
      </w:pPr>
      <w:r>
        <w:rPr>
          <w:rFonts w:ascii="Courier New" w:hAnsi="Courier New" w:cs="Courier New"/>
          <w:u w:val="none"/>
        </w:rPr>
        <w:t>местный душевой налог (7,76%).</w:t>
      </w:r>
    </w:p>
    <w:p w:rsidR="00EE2429" w:rsidRDefault="00EE2429">
      <w:pPr>
        <w:pStyle w:val="a5"/>
        <w:ind w:firstLine="360"/>
        <w:rPr>
          <w:rFonts w:ascii="Courier New" w:hAnsi="Courier New" w:cs="Courier New"/>
          <w:u w:val="none"/>
        </w:rPr>
      </w:pPr>
      <w:r>
        <w:rPr>
          <w:rFonts w:ascii="Courier New" w:hAnsi="Courier New" w:cs="Courier New"/>
          <w:u w:val="none"/>
        </w:rPr>
        <w:t>С учетом некоторых вычетов ставка налога в среднем составляет около 50% и колеблется в диапазоне от 44 от 56%.</w:t>
      </w:r>
    </w:p>
    <w:p w:rsidR="00EE2429" w:rsidRDefault="00EE2429">
      <w:pPr>
        <w:pStyle w:val="a5"/>
        <w:ind w:firstLine="360"/>
        <w:rPr>
          <w:rFonts w:ascii="Courier New" w:hAnsi="Courier New" w:cs="Courier New"/>
          <w:u w:val="none"/>
        </w:rPr>
      </w:pPr>
      <w:r>
        <w:rPr>
          <w:rFonts w:ascii="Courier New" w:hAnsi="Courier New" w:cs="Courier New"/>
          <w:u w:val="none"/>
        </w:rPr>
        <w:t>В Италии система налогообложения банков несколько иная: с банков взимается налог на прибыль корпораций (36%) и местный налог (16,2%). Однако реальная ставка составляет около 48%, так при исчислении налога 75% местного налога вычитается из облагаемого дохода.</w:t>
      </w:r>
    </w:p>
    <w:p w:rsidR="00EE2429" w:rsidRDefault="00EE2429">
      <w:pPr>
        <w:pStyle w:val="a5"/>
        <w:ind w:firstLine="360"/>
        <w:rPr>
          <w:rFonts w:ascii="Courier New" w:hAnsi="Courier New" w:cs="Courier New"/>
          <w:u w:val="none"/>
        </w:rPr>
      </w:pPr>
      <w:r>
        <w:rPr>
          <w:rFonts w:ascii="Courier New" w:hAnsi="Courier New" w:cs="Courier New"/>
          <w:u w:val="none"/>
        </w:rPr>
        <w:t>Во Франции банки (включая отделения иностранных банков) уплачивают налог с корпораций, равный 34% с нераспределенной прибыли, и 42% с прибыли, выплаченной в виде дивидендов. Налог на добавленную стоимость не взимается с основных видов банковских доходов (процентов, комиссий и т.д.), но он уплачивается (в размере 18,6%) с доходов операций по лизингу, торговли благородными металлами, трастовых операций и хранения ценностей в сейфах.</w:t>
      </w:r>
    </w:p>
    <w:p w:rsidR="00EE2429" w:rsidRDefault="00EE2429">
      <w:pPr>
        <w:pStyle w:val="a5"/>
        <w:ind w:firstLine="360"/>
        <w:rPr>
          <w:rFonts w:ascii="Courier New" w:hAnsi="Courier New" w:cs="Courier New"/>
          <w:u w:val="none"/>
        </w:rPr>
      </w:pPr>
      <w:r>
        <w:rPr>
          <w:rFonts w:ascii="Courier New" w:hAnsi="Courier New" w:cs="Courier New"/>
          <w:u w:val="none"/>
        </w:rPr>
        <w:t>В Великобритании банк уплачивает 33 – 35% от общего дохода с внутренних и внешних операций.</w:t>
      </w:r>
    </w:p>
    <w:p w:rsidR="00EE2429" w:rsidRDefault="00EE2429">
      <w:pPr>
        <w:pStyle w:val="a5"/>
        <w:ind w:firstLine="360"/>
        <w:rPr>
          <w:rFonts w:ascii="Courier New" w:hAnsi="Courier New" w:cs="Courier New"/>
          <w:u w:val="none"/>
        </w:rPr>
      </w:pPr>
      <w:r>
        <w:rPr>
          <w:rFonts w:ascii="Courier New" w:hAnsi="Courier New" w:cs="Courier New"/>
          <w:u w:val="none"/>
        </w:rPr>
        <w:t>В США ставка федерального налога на прибыль компании составляет 34% (в 1986 г. снижена с 46% до 34%). Реально банки уплачивают еще более низкую ставку. Это связано с тем, что в американской практике существуют некоторые вычеты доходов (по отдельным видам ценных бумаг) из налогооблагаемой базы.</w:t>
      </w:r>
    </w:p>
    <w:p w:rsidR="00EE2429" w:rsidRDefault="00EE2429">
      <w:pPr>
        <w:pStyle w:val="a5"/>
        <w:ind w:firstLine="360"/>
        <w:rPr>
          <w:rFonts w:ascii="Courier New" w:hAnsi="Courier New" w:cs="Courier New"/>
          <w:u w:val="none"/>
        </w:rPr>
      </w:pPr>
      <w:r>
        <w:rPr>
          <w:rFonts w:ascii="Courier New" w:hAnsi="Courier New" w:cs="Courier New"/>
          <w:u w:val="none"/>
        </w:rPr>
        <w:t>Так, еще в 1977 г. коммерческие банки США выплатили подоходные налоги на сумму более 2,8 млрд. долл. На банки распространяются обычные ставки налогообложения корпораций. На протяжении многих лет правила взимания налогов с разных финансовых посредников различались. Комиссия по финансовым институтам рекомендовала недавно унифицировать налогообложение всех финансовых учреждений, кроме кредитных союзов. С последних подоходный налог в настоящее время не взимается. Очевидно, комиссия считает, что указанная льгота не дает им такого решающего преимущества в конкуренции, которое пагубно отразилось бы на других финансовых учреждениях. При налогообложении деятельности банков, как и при налогообложении корпораций, в Соединенных Штатах в первую очередь обращается внимание на доход, а не на добавленную стоимость или другие производственные или потребительские налоги. В связи с тем, что налогообложение банков в США происходит аналогично налогообложению корпораций, целесообразно рассмотреть общую схему налогообложения корпораций, а затем выделить некоторые особенности, присущие федеральному налогообложению коммерческих банков и налогообложению национальных банков штатами.</w:t>
      </w:r>
    </w:p>
    <w:p w:rsidR="00EE2429" w:rsidRDefault="00EE2429">
      <w:pPr>
        <w:pStyle w:val="a5"/>
        <w:ind w:firstLine="360"/>
        <w:rPr>
          <w:rFonts w:ascii="Courier New" w:hAnsi="Courier New" w:cs="Courier New"/>
          <w:u w:val="none"/>
        </w:rPr>
      </w:pPr>
      <w:r>
        <w:rPr>
          <w:rFonts w:ascii="Courier New" w:hAnsi="Courier New" w:cs="Courier New"/>
          <w:u w:val="none"/>
        </w:rPr>
        <w:t>Общая схема налогообложения корпорации имеет следующий вид:</w:t>
      </w:r>
    </w:p>
    <w:p w:rsidR="00EE2429" w:rsidRDefault="00EE2429">
      <w:pPr>
        <w:pStyle w:val="a5"/>
        <w:numPr>
          <w:ilvl w:val="0"/>
          <w:numId w:val="13"/>
        </w:numPr>
        <w:ind w:left="720"/>
        <w:rPr>
          <w:rFonts w:ascii="Courier New" w:hAnsi="Courier New" w:cs="Courier New"/>
          <w:i/>
          <w:u w:val="none"/>
        </w:rPr>
      </w:pPr>
      <w:r>
        <w:rPr>
          <w:rFonts w:ascii="Courier New" w:hAnsi="Courier New" w:cs="Courier New"/>
          <w:u w:val="none"/>
        </w:rPr>
        <w:t>определяется доход;</w:t>
      </w:r>
    </w:p>
    <w:p w:rsidR="00EE2429" w:rsidRDefault="00EE2429">
      <w:pPr>
        <w:pStyle w:val="a5"/>
        <w:numPr>
          <w:ilvl w:val="0"/>
          <w:numId w:val="13"/>
        </w:numPr>
        <w:ind w:left="720"/>
        <w:rPr>
          <w:rFonts w:ascii="Courier New" w:hAnsi="Courier New" w:cs="Courier New"/>
          <w:i/>
          <w:u w:val="none"/>
        </w:rPr>
      </w:pPr>
      <w:r>
        <w:rPr>
          <w:rFonts w:ascii="Courier New" w:hAnsi="Courier New" w:cs="Courier New"/>
          <w:u w:val="none"/>
        </w:rPr>
        <w:t>из суммы определенного дохода исключается не подлежащий налогообложению доход;</w:t>
      </w:r>
    </w:p>
    <w:p w:rsidR="00EE2429" w:rsidRDefault="00EE2429">
      <w:pPr>
        <w:pStyle w:val="a5"/>
        <w:numPr>
          <w:ilvl w:val="0"/>
          <w:numId w:val="13"/>
        </w:numPr>
        <w:ind w:left="720"/>
        <w:rPr>
          <w:rFonts w:ascii="Courier New" w:hAnsi="Courier New" w:cs="Courier New"/>
          <w:i/>
          <w:u w:val="none"/>
        </w:rPr>
      </w:pPr>
      <w:r>
        <w:rPr>
          <w:rFonts w:ascii="Courier New" w:hAnsi="Courier New" w:cs="Courier New"/>
          <w:u w:val="none"/>
        </w:rPr>
        <w:t>производятся вычеты для исчисления облагаемого налогом чистого дохода, к которому применяются особые ставки налога.</w:t>
      </w:r>
    </w:p>
    <w:p w:rsidR="00EE2429" w:rsidRDefault="00EE2429">
      <w:pPr>
        <w:pStyle w:val="a5"/>
        <w:ind w:firstLine="360"/>
        <w:rPr>
          <w:rFonts w:ascii="Courier New" w:hAnsi="Courier New" w:cs="Courier New"/>
          <w:u w:val="none"/>
        </w:rPr>
      </w:pPr>
      <w:r>
        <w:rPr>
          <w:rFonts w:ascii="Courier New" w:hAnsi="Courier New" w:cs="Courier New"/>
          <w:u w:val="none"/>
        </w:rPr>
        <w:t>Обычные коммерческие исключения – расходы, произведенные для получения дохода:</w:t>
      </w:r>
    </w:p>
    <w:p w:rsidR="00EE2429" w:rsidRDefault="00EE2429">
      <w:pPr>
        <w:pStyle w:val="a5"/>
        <w:numPr>
          <w:ilvl w:val="0"/>
          <w:numId w:val="9"/>
        </w:numPr>
        <w:ind w:left="720"/>
        <w:rPr>
          <w:rFonts w:ascii="Courier New" w:hAnsi="Courier New" w:cs="Courier New"/>
          <w:u w:val="none"/>
        </w:rPr>
      </w:pPr>
      <w:r>
        <w:rPr>
          <w:rFonts w:ascii="Courier New" w:hAnsi="Courier New" w:cs="Courier New"/>
          <w:u w:val="none"/>
        </w:rPr>
        <w:t>амортизация производственного оборудования;</w:t>
      </w:r>
    </w:p>
    <w:p w:rsidR="00EE2429" w:rsidRDefault="00EE2429">
      <w:pPr>
        <w:pStyle w:val="a5"/>
        <w:numPr>
          <w:ilvl w:val="0"/>
          <w:numId w:val="9"/>
        </w:numPr>
        <w:ind w:left="720"/>
        <w:rPr>
          <w:rFonts w:ascii="Courier New" w:hAnsi="Courier New" w:cs="Courier New"/>
          <w:u w:val="none"/>
        </w:rPr>
      </w:pPr>
      <w:r>
        <w:rPr>
          <w:rFonts w:ascii="Courier New" w:hAnsi="Courier New" w:cs="Courier New"/>
          <w:u w:val="none"/>
        </w:rPr>
        <w:t>выплата процентов по кредитам;</w:t>
      </w:r>
    </w:p>
    <w:p w:rsidR="00EE2429" w:rsidRDefault="00EE2429">
      <w:pPr>
        <w:pStyle w:val="a5"/>
        <w:numPr>
          <w:ilvl w:val="0"/>
          <w:numId w:val="9"/>
        </w:numPr>
        <w:ind w:left="720"/>
        <w:rPr>
          <w:rFonts w:ascii="Courier New" w:hAnsi="Courier New" w:cs="Courier New"/>
          <w:u w:val="none"/>
        </w:rPr>
      </w:pPr>
      <w:r>
        <w:rPr>
          <w:rFonts w:ascii="Courier New" w:hAnsi="Courier New" w:cs="Courier New"/>
          <w:u w:val="none"/>
        </w:rPr>
        <w:t>безнадежные долги;</w:t>
      </w:r>
    </w:p>
    <w:p w:rsidR="00EE2429" w:rsidRDefault="00EE2429">
      <w:pPr>
        <w:pStyle w:val="a5"/>
        <w:numPr>
          <w:ilvl w:val="0"/>
          <w:numId w:val="9"/>
        </w:numPr>
        <w:ind w:left="720"/>
        <w:rPr>
          <w:rFonts w:ascii="Courier New" w:hAnsi="Courier New" w:cs="Courier New"/>
          <w:u w:val="none"/>
        </w:rPr>
      </w:pPr>
      <w:r>
        <w:rPr>
          <w:rFonts w:ascii="Courier New" w:hAnsi="Courier New" w:cs="Courier New"/>
          <w:u w:val="none"/>
        </w:rPr>
        <w:t>заработная плата и премии служащих.</w:t>
      </w:r>
    </w:p>
    <w:p w:rsidR="00EE2429" w:rsidRDefault="00EE2429">
      <w:pPr>
        <w:pStyle w:val="a5"/>
        <w:rPr>
          <w:rFonts w:ascii="Courier New" w:hAnsi="Courier New" w:cs="Courier New"/>
          <w:u w:val="none"/>
        </w:rPr>
      </w:pPr>
      <w:r>
        <w:rPr>
          <w:rFonts w:ascii="Courier New" w:hAnsi="Courier New" w:cs="Courier New"/>
          <w:u w:val="none"/>
        </w:rPr>
        <w:t xml:space="preserve">Следует отметить, что любые убытки, которые возникают в результате деятельности, но не были показаны ранее для снижения задолженности по налогам, могут быть учтены. Наряду с этим отдельные правовые нормы разрешают расширять применение исключений по таким конкретным статьям, как увеличение амортизации производственного оборудования; </w:t>
      </w:r>
    </w:p>
    <w:p w:rsidR="00EE2429" w:rsidRDefault="00EE2429">
      <w:pPr>
        <w:pStyle w:val="a5"/>
        <w:numPr>
          <w:ilvl w:val="0"/>
          <w:numId w:val="15"/>
        </w:numPr>
        <w:rPr>
          <w:rFonts w:ascii="Courier New" w:hAnsi="Courier New" w:cs="Courier New"/>
          <w:u w:val="none"/>
        </w:rPr>
      </w:pPr>
      <w:r>
        <w:rPr>
          <w:rFonts w:ascii="Courier New" w:hAnsi="Courier New" w:cs="Courier New"/>
          <w:u w:val="none"/>
        </w:rPr>
        <w:t xml:space="preserve">определяется сумма налога; </w:t>
      </w:r>
    </w:p>
    <w:p w:rsidR="00EE2429" w:rsidRDefault="00EE2429">
      <w:pPr>
        <w:pStyle w:val="a5"/>
        <w:numPr>
          <w:ilvl w:val="0"/>
          <w:numId w:val="15"/>
        </w:numPr>
        <w:rPr>
          <w:rFonts w:ascii="Courier New" w:hAnsi="Courier New" w:cs="Courier New"/>
          <w:u w:val="none"/>
        </w:rPr>
      </w:pPr>
      <w:r>
        <w:rPr>
          <w:rFonts w:ascii="Courier New" w:hAnsi="Courier New" w:cs="Courier New"/>
          <w:u w:val="none"/>
        </w:rPr>
        <w:t>из определенной суммы налога, перечисляемого Службе внутренних сборов, вычитаются суммы, определенные льготами.</w:t>
      </w:r>
    </w:p>
    <w:p w:rsidR="00EE2429" w:rsidRDefault="00EE2429">
      <w:pPr>
        <w:pStyle w:val="a5"/>
        <w:ind w:firstLine="0"/>
        <w:rPr>
          <w:rFonts w:ascii="Courier New" w:hAnsi="Courier New" w:cs="Courier New"/>
          <w:u w:val="none"/>
        </w:rPr>
      </w:pPr>
      <w:r>
        <w:rPr>
          <w:rFonts w:ascii="Courier New" w:hAnsi="Courier New" w:cs="Courier New"/>
          <w:u w:val="none"/>
        </w:rPr>
        <w:tab/>
        <w:t>Существует достаточно большое число льгот, но самой важной для крупных коммерческих предприятий считается льгота по налогообложению доходов, полученных от деятельности за рубежом.</w:t>
      </w:r>
    </w:p>
    <w:p w:rsidR="00EE2429" w:rsidRDefault="00EE2429">
      <w:pPr>
        <w:pStyle w:val="a5"/>
        <w:ind w:firstLine="0"/>
        <w:rPr>
          <w:rFonts w:ascii="Courier New" w:hAnsi="Courier New" w:cs="Courier New"/>
          <w:u w:val="none"/>
        </w:rPr>
      </w:pPr>
      <w:r>
        <w:rPr>
          <w:rFonts w:ascii="Courier New" w:hAnsi="Courier New" w:cs="Courier New"/>
          <w:u w:val="none"/>
        </w:rPr>
        <w:tab/>
        <w:t>Следует подчеркнуть, что недоплата налогов в американской практике наказуема. Поэтому расчет налогов на уровне коммерческого банка (либо корпорации), банковской холдинговой компании представляет собой важный вопрос для служащих, бухгалтеров и руководителей. Практика налогообложения банков, как и иных корпораций, в США основана на том, что если они имеют доход, то минимальный налог, существенно пересмотренный в 1986 г., все равно должен быть уплачен.</w:t>
      </w:r>
    </w:p>
    <w:p w:rsidR="00EE2429" w:rsidRDefault="00EE2429">
      <w:pPr>
        <w:pStyle w:val="a5"/>
        <w:ind w:firstLine="0"/>
        <w:rPr>
          <w:rFonts w:ascii="Courier New" w:hAnsi="Courier New" w:cs="Courier New"/>
          <w:u w:val="none"/>
        </w:rPr>
      </w:pPr>
      <w:r>
        <w:rPr>
          <w:rFonts w:ascii="Courier New" w:hAnsi="Courier New" w:cs="Courier New"/>
          <w:u w:val="none"/>
        </w:rPr>
        <w:tab/>
        <w:t>Наряду с этим в США существуют нормы об объединении дохода взаимосвязанных корпораций, а также о налогообложении при слиянии и приобретении. Таким образом, американские банки обычно облагаются налогом по той же схеме, что и корпорации. Но поскольку деятельность коммерческих банков имеет определенные особенности, постольку в США существует несколько норм, имеющих отношение только к коммерческим операциям банков. К их числу следует отнести: резервы для возмещения ущерба, возникшего в связи с займами; исключаемый из налогообложения доход; операционные убытки; ограниченные исключения из правил определения рынка; отложенные доходы от деятельности в другой стране; льгота по налогообложению доходов, полученных от деятельности за рубежом; альтернативный минимальный налог.</w:t>
      </w:r>
    </w:p>
    <w:p w:rsidR="00EE2429" w:rsidRDefault="00EE2429">
      <w:pPr>
        <w:pStyle w:val="a5"/>
        <w:ind w:firstLine="0"/>
        <w:rPr>
          <w:rFonts w:ascii="Courier New" w:hAnsi="Courier New" w:cs="Courier New"/>
          <w:u w:val="none"/>
        </w:rPr>
      </w:pPr>
      <w:r>
        <w:rPr>
          <w:rFonts w:ascii="Courier New" w:hAnsi="Courier New" w:cs="Courier New"/>
          <w:u w:val="none"/>
        </w:rPr>
        <w:tab/>
        <w:t>Проследить механизм формирования налогооблагаемой базы западных коммерческих банков с известной долей условности можно, используя счет прибылей и убытков, основанный на концепции потоков. Это означает, что счет прибылей и убытков начинается с процентного дохода и дохода от платных услуг, из суммы которых вычитаются операционные расходы; затем следуют не операционные доходы или расходы, резервы для покрытия сомнительных кредитных требований и налоги. В конечном счете может быть определен чистый доход коммерческого банка. Приведенный ниже формат соответствует одной из двух рекомендаций ЕС.</w:t>
      </w: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rPr>
          <w:rFonts w:ascii="Courier New" w:hAnsi="Courier New" w:cs="Courier New"/>
          <w:u w:val="none"/>
        </w:rPr>
      </w:pPr>
    </w:p>
    <w:p w:rsidR="00EE2429" w:rsidRDefault="00EE2429">
      <w:pPr>
        <w:pStyle w:val="a5"/>
        <w:ind w:firstLine="0"/>
        <w:jc w:val="center"/>
        <w:rPr>
          <w:rFonts w:ascii="Courier New" w:hAnsi="Courier New" w:cs="Courier New"/>
          <w:bCs/>
          <w:color w:val="000000"/>
        </w:rPr>
      </w:pPr>
      <w:r>
        <w:rPr>
          <w:rFonts w:ascii="Courier New" w:hAnsi="Courier New" w:cs="Courier New"/>
          <w:bCs/>
          <w:color w:val="000000"/>
          <w:u w:val="none"/>
        </w:rPr>
        <w:t xml:space="preserve">3. </w:t>
      </w:r>
      <w:r>
        <w:rPr>
          <w:rFonts w:ascii="Courier New" w:hAnsi="Courier New" w:cs="Courier New"/>
          <w:bCs/>
          <w:color w:val="000000"/>
        </w:rPr>
        <w:t>Анализ и рекомендации.</w:t>
      </w:r>
    </w:p>
    <w:p w:rsidR="00EE2429" w:rsidRDefault="00EE2429">
      <w:pPr>
        <w:pStyle w:val="a5"/>
        <w:ind w:firstLine="0"/>
        <w:rPr>
          <w:rFonts w:ascii="Courier New" w:hAnsi="Courier New" w:cs="Courier New"/>
          <w:color w:val="000000"/>
          <w:u w:val="none"/>
        </w:rPr>
      </w:pPr>
      <w:r>
        <w:rPr>
          <w:rFonts w:ascii="Courier New" w:hAnsi="Courier New" w:cs="Courier New"/>
          <w:color w:val="000000"/>
          <w:u w:val="none"/>
        </w:rPr>
        <w:t>Анализ и оценка зарубежного опыта налогообложения деятельности коммерческих банков позволяет сделать некоторые выводы и рекомендации, которые могут быть использованы в российской практике как на микро -, так и макро-уровнях.</w:t>
      </w:r>
    </w:p>
    <w:p w:rsidR="00EE2429" w:rsidRDefault="00EE2429">
      <w:pPr>
        <w:pStyle w:val="a5"/>
        <w:numPr>
          <w:ilvl w:val="0"/>
          <w:numId w:val="18"/>
        </w:numPr>
        <w:rPr>
          <w:rFonts w:ascii="Courier New" w:hAnsi="Courier New" w:cs="Courier New"/>
          <w:color w:val="000000"/>
          <w:u w:val="none"/>
        </w:rPr>
      </w:pPr>
      <w:r>
        <w:rPr>
          <w:rFonts w:ascii="Courier New" w:hAnsi="Courier New" w:cs="Courier New"/>
          <w:color w:val="000000"/>
          <w:u w:val="none"/>
        </w:rPr>
        <w:t>В современных российских условиях целесообразно было бы ввести дифференцированный подход к налогообложению коммерческих банков. В частности, целесообразно применять более низкую ставку налога на прибыль в том случае, если банк систематически направляет прибыль не на выплату дивидендов, а на увеличение капитала банка, кредитование реального сектора экономики, развитие деятельности за рубежом.</w:t>
      </w:r>
    </w:p>
    <w:p w:rsidR="00EE2429" w:rsidRDefault="00EE2429">
      <w:pPr>
        <w:pStyle w:val="a5"/>
        <w:numPr>
          <w:ilvl w:val="0"/>
          <w:numId w:val="18"/>
        </w:numPr>
        <w:rPr>
          <w:rFonts w:ascii="Courier New" w:hAnsi="Courier New" w:cs="Courier New"/>
          <w:color w:val="000000"/>
          <w:u w:val="none"/>
        </w:rPr>
      </w:pPr>
      <w:r>
        <w:rPr>
          <w:rFonts w:ascii="Courier New" w:hAnsi="Courier New" w:cs="Courier New"/>
          <w:color w:val="000000"/>
          <w:u w:val="none"/>
        </w:rPr>
        <w:t>В связи с тем, что подоходные налоги, которые уплачивают коммерческие банки, затрагивают уровень достаточности капитала и снижают чистый доход неравномерно, в налоговом законодательстве целесообразно предусмотреть ряд позиций, которые благоприятствовали бы определенным банковским доходам. В условиях, когда необходимо целенаправленное вложение средств в реальный сектор экономики, такими доходами могут выступать доходы банка от обслуживания (имеется в виду прежде всего вложение средств на средне- и долгосрочной основе) приоритетных отраслей реального сектора. Это тем более актуально, когда финансовое руководство банка стремится максимально снизить налоги, подлежащие выплате за текущую деятельность. Для этого, как правило, ведется работа со всеми отделами, управлениями и департаментами по обнаружению и использованию легальных возможностей неуплаты налогов.</w:t>
      </w:r>
    </w:p>
    <w:p w:rsidR="00EE2429" w:rsidRDefault="00EE2429">
      <w:pPr>
        <w:pStyle w:val="a5"/>
        <w:rPr>
          <w:rFonts w:ascii="Courier New" w:hAnsi="Courier New" w:cs="Courier New"/>
          <w:color w:val="000000"/>
          <w:u w:val="none"/>
        </w:rPr>
      </w:pPr>
      <w:r>
        <w:rPr>
          <w:rFonts w:ascii="Courier New" w:hAnsi="Courier New" w:cs="Courier New"/>
          <w:color w:val="000000"/>
          <w:u w:val="none"/>
        </w:rPr>
        <w:t>Проблематика налогообложения российских и иностранных банков, а также банков с иностранным участием важна в контексте проблем развития интеграционных процессов в банковском бизнесе, как минимум, по двум причинам.</w:t>
      </w:r>
    </w:p>
    <w:p w:rsidR="00EE2429" w:rsidRDefault="00EE2429">
      <w:pPr>
        <w:pStyle w:val="a5"/>
        <w:rPr>
          <w:rFonts w:ascii="Courier New" w:hAnsi="Courier New" w:cs="Courier New"/>
          <w:color w:val="000000"/>
          <w:u w:val="none"/>
        </w:rPr>
      </w:pPr>
      <w:r>
        <w:rPr>
          <w:rFonts w:ascii="Courier New" w:hAnsi="Courier New" w:cs="Courier New"/>
          <w:color w:val="000000"/>
          <w:u w:val="none"/>
        </w:rPr>
        <w:t>Во-первых, присутствие иностранных банков прямо и опосредованно способствует экономическому развитию России посредством содействия ускорению делового оборота, увеличению его размеров в абсолютном выражении и, следовательно, увеличению налоговых отчислений от деятельности различных хозяйствующих субъектов. Согласно данным Банка России имеются дополнительные возможности увеличения собственных средств (капитала) российской банковской системы за счет привлечения иностранного капитала в пределах установленного лимита 12%-го участия (фактическая доля иностранного капитала составляет на 01.01.98 4,31%). Деятельность кредитных организаций, контролируемых не резидентами, в 1997 г. свидетельствует об укреплении их позиций в российской банковской системе. По состоянию на 01.01.98 на российском банковском рынке действовало 26 кредитных организаций, в уставном капитале которых иностранные инвестиции составляют более 50% (18% анализируемой группы). Величина активов данных банков на 01.01.98 достигла 8,9% совокупных активов действующих кредитных организаций (без учета Сбербанка РФ) против 6% на начало 1997 г. В течение 1997 г. кредитные организации с участием иностранного капитала оказывали значительное влияние на процессы концентрации активов банковской системы. По состоянию на 01.01.98 в число 200 крупнейших банков входило 12 из 16 баков, полностью принадлежащих нерезидентам (100%-е участие в уставном капитале), и 17 из 26 банков, контролируемых иностранным капиталом. В 1997 г. расширилось влияние на российскую экономику банков, полностью принадлежащих нерезидентам (100%-е участие в капитале). Несмотря на незначительную величину отношения активов данных кредитных организаций к ВВП России – 1,3% на 01.01.98 в течение 1997 г. наблюдался рост этого показателя в 1,6 раза. При этом кризисные явления на международных финансовых рынках не оказали продолжительного неблагоприятного воздействия на группу банков с участием иностранных инвестиций.</w:t>
      </w:r>
    </w:p>
    <w:p w:rsidR="00EE2429" w:rsidRDefault="00EE2429">
      <w:pPr>
        <w:pStyle w:val="a5"/>
        <w:rPr>
          <w:rFonts w:ascii="Courier New" w:hAnsi="Courier New" w:cs="Courier New"/>
          <w:color w:val="000000"/>
          <w:u w:val="none"/>
        </w:rPr>
      </w:pPr>
      <w:r>
        <w:rPr>
          <w:rFonts w:ascii="Courier New" w:hAnsi="Courier New" w:cs="Courier New"/>
          <w:color w:val="000000"/>
          <w:u w:val="none"/>
        </w:rPr>
        <w:t>Во-вторых, присутствие иностранных банков способствует развитию конкуренции на российском рынке банковских услуг и целый ряд преимуществ в конкурентной борьбе принадлежит именно банкам с иностранным участием. В условиях, когда российские банки значительно отстают от иностранных по количественным и качественным показателям, им необходимо оказывать адекватную государственную поддержку, в том числе и посредством дифференцированного подхода к налогообложению. Это важно как с точки зрения повышения доходности федерального бюджета, так и с точки зрения повышения доходности местных бюджетов (местные бюджеты еще не сформировались должным образом, что следует рассматривать как явление, негативно влияющее на экономическое развитие регионов в целом). Этот тезис подтверждается анализом развития валютного рынка, динамики доходности операций его основных участников. Так, следует принимать во внимание, что в формировании активов и пассивов банков с участием иностранных инвестиций в капитале акцент сделан на работе со средствами в иностранной валюте.</w:t>
      </w:r>
    </w:p>
    <w:p w:rsidR="00EE2429" w:rsidRDefault="00EE2429">
      <w:pPr>
        <w:pStyle w:val="a5"/>
        <w:rPr>
          <w:rFonts w:ascii="Courier New" w:hAnsi="Courier New" w:cs="Courier New"/>
          <w:color w:val="000000"/>
          <w:u w:val="none"/>
        </w:rPr>
      </w:pPr>
      <w:r>
        <w:rPr>
          <w:rFonts w:ascii="Courier New" w:hAnsi="Courier New" w:cs="Courier New"/>
          <w:color w:val="000000"/>
          <w:u w:val="none"/>
        </w:rPr>
        <w:t>По сравнению с другими коммерческими банками банки, имеющие иностранные инвестиции, обладают большими потенциальными возможностями для работы в «валютной нише» рынка банковских услуг (например, установление корреспондентских отношений с зарубежными банками и т.д.). По состоянию на 01.01.98 на долю банков с иностранным участием приходилось свыше 34% совокупных средств, размещенных действующими кредитными организациями в зарубежных банках на счетах «НОСТРО» в иностранной валюте (из них 40% - в банках Европы, 32,7% - США и Канады). В качестве источника формирования ресурсной базы активно используются средства в иностранной валюте – например, привлеченные с международных финансовых рынков межбанковские кредиты (по состоянию на 01.01.98 банками с иностранным участием было получено около 61% общего объема кредитов, предоставленных банками-нерезидентами российским банкам, 76,6% из них составили кредиты европейских банков). Для сравнения можно привести данные о доле доходов от проведения валютных операций в общем объеме полученных доходов по одному из крупных коммерческих банков – эта доля в 1997 г. составила 34%, тогда как от проведения операций с ценными бумагами тот же банк получил около 40%, от кредитных операций – около 25% доходов.</w:t>
      </w: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jc w:val="center"/>
        <w:rPr>
          <w:rFonts w:ascii="Courier New" w:hAnsi="Courier New" w:cs="Courier New"/>
          <w:color w:val="000000"/>
        </w:rPr>
      </w:pPr>
      <w:r>
        <w:rPr>
          <w:rFonts w:ascii="Courier New" w:hAnsi="Courier New" w:cs="Courier New"/>
          <w:color w:val="000000"/>
        </w:rPr>
        <w:t>Заключение</w:t>
      </w:r>
    </w:p>
    <w:p w:rsidR="00EE2429" w:rsidRDefault="00EE2429">
      <w:pPr>
        <w:pStyle w:val="a5"/>
        <w:rPr>
          <w:rFonts w:ascii="Courier New" w:hAnsi="Courier New" w:cs="Courier New"/>
          <w:color w:val="000000"/>
          <w:u w:val="none"/>
        </w:rPr>
      </w:pPr>
      <w:r>
        <w:rPr>
          <w:rFonts w:ascii="Courier New" w:hAnsi="Courier New" w:cs="Courier New"/>
          <w:color w:val="000000"/>
          <w:u w:val="none"/>
        </w:rPr>
        <w:t>В адрес Министерства РФ по налогам и сборам в 2000 г. также как и в прошлом году поступают предложения о введении налоговых льгот для коммерческих банков, направляющих банковский капитал в отечественное производство. Как правило, речь идет о снижении уровня налогообложения доходов в виде процентов, получаемых от кредитования предприятий и организаций реального сектора экономики. Одновременно предлагается в полном объеме принимать в уменьшение налогооблагаемой прибыли банков суммы резервов под возможные потери по ссудам. Бесспорно, что реализация названных предложений снизит налоговую нагрузку на банки, но нет такой же ясности с вопросом - будут ли эти стимулы достаточными, чтобы активизировать деятельность банков по долгосрочному кредитованию экономики при существующих рисках "невозвратов" выданных кредитов.</w:t>
      </w:r>
    </w:p>
    <w:p w:rsidR="00EE2429" w:rsidRDefault="00EE2429">
      <w:pPr>
        <w:pStyle w:val="a5"/>
        <w:rPr>
          <w:rFonts w:ascii="Courier New" w:hAnsi="Courier New" w:cs="Courier New"/>
          <w:color w:val="000000"/>
          <w:u w:val="none"/>
        </w:rPr>
      </w:pPr>
    </w:p>
    <w:p w:rsidR="00EE2429" w:rsidRDefault="00EE2429">
      <w:pPr>
        <w:pStyle w:val="a5"/>
        <w:rPr>
          <w:rFonts w:ascii="Courier New" w:hAnsi="Courier New" w:cs="Courier New"/>
          <w:color w:val="000000"/>
          <w:u w:val="none"/>
        </w:rPr>
      </w:pPr>
      <w:r>
        <w:rPr>
          <w:rFonts w:ascii="Courier New" w:hAnsi="Courier New" w:cs="Courier New"/>
          <w:color w:val="000000"/>
          <w:u w:val="none"/>
        </w:rPr>
        <w:t>Известно, что несколько лет назад подобные льготы уже вводились, однако известны и финансовые потрясения, выпавшие на долю таких специализированных банков, пользовавшихся этими льготами, таких как Промстройбанк и Агропромбанк, кредитовавших промышленные и сельскохозяйственные предприятия. По нашему мнению, введение налоговых льгот для коммерческих банков при кредитовании экономики - это еще не гарантия финансовой стабильности банков.</w:t>
      </w:r>
    </w:p>
    <w:p w:rsidR="00EE2429" w:rsidRDefault="00EE2429">
      <w:pPr>
        <w:pStyle w:val="a5"/>
        <w:rPr>
          <w:rFonts w:ascii="Courier New" w:hAnsi="Courier New" w:cs="Courier New"/>
          <w:color w:val="000000"/>
          <w:u w:val="none"/>
        </w:rPr>
      </w:pPr>
    </w:p>
    <w:p w:rsidR="00EE2429" w:rsidRDefault="00EE2429">
      <w:pPr>
        <w:pStyle w:val="a5"/>
        <w:rPr>
          <w:rFonts w:ascii="Courier New" w:hAnsi="Courier New" w:cs="Courier New"/>
          <w:color w:val="000000"/>
          <w:u w:val="none"/>
        </w:rPr>
      </w:pPr>
      <w:r>
        <w:rPr>
          <w:rFonts w:ascii="Courier New" w:hAnsi="Courier New" w:cs="Courier New"/>
          <w:color w:val="000000"/>
          <w:u w:val="none"/>
        </w:rPr>
        <w:t>В преддверии настоящей конференции министерством была проведена экспертная оценка налоговой нагрузки, которую несли коммерческие банки в 1999 г., в т.ч. входящие в Ассоциацию "Россия". В целом за 1999 г. в бюджетную систему РФ поступило налоговых платежей 29,3 млрд. руб., что составляет 3,3% от общей суммы поступивших налогов (в 1998 г. этот показатель составлял 4,2%). В 1999 г. налоговая нагрузка в сравнении с 1998 г. снизилась в связи со снижением ставки налога на прибыль с 43 до 38% от налогооблагаемой прибыли. Расчет налоговой нагрузки производился по методике, предложенной Минфином России при подготовке Налогового кодекса РФ. Она оценивалась путем отнесения всех начисленных платежей в бюджет и внебюджетные фонды к общей сумме доходов, полученных банком. Результаты свидетельствуют о том, что доля налоговых платежей в общей сумме доходов банков имеет достаточно широкий диапазон, составляющий от 1,5 до 7%, хотя имеются банки, у которых налоговая нагрузка достигает 12%, а в отдельных случаях и выше. В среднем, по произведенной выборке, налоговая нагрузка у банков примерно в 2 раза ниже, чем у промышленных предприятий. В 2000 г. налоговая нагрузка у многих кредитных организаций, как и у других юридических лиц, будет снижена в сравнении с 1999 г., что связано с переходом на уплату налога на прибыль по сводному балансу юридического лица.</w:t>
      </w:r>
    </w:p>
    <w:p w:rsidR="00EE2429" w:rsidRDefault="00EE2429">
      <w:pPr>
        <w:pStyle w:val="a5"/>
        <w:rPr>
          <w:rFonts w:ascii="Courier New" w:hAnsi="Courier New" w:cs="Courier New"/>
          <w:color w:val="000000"/>
          <w:u w:val="none"/>
        </w:rPr>
      </w:pPr>
    </w:p>
    <w:p w:rsidR="00EE2429" w:rsidRDefault="00EE2429">
      <w:pPr>
        <w:pStyle w:val="a5"/>
        <w:rPr>
          <w:rFonts w:ascii="Courier New" w:hAnsi="Courier New" w:cs="Courier New"/>
          <w:color w:val="000000"/>
          <w:u w:val="none"/>
        </w:rPr>
      </w:pPr>
      <w:r>
        <w:rPr>
          <w:rFonts w:ascii="Courier New" w:hAnsi="Courier New" w:cs="Courier New"/>
          <w:color w:val="000000"/>
          <w:u w:val="none"/>
        </w:rPr>
        <w:t>В адрес министерства поступили предложения об установлении для банков и предприятий одинаковой налоговой ставки по налогу на прибыль, составляющей 30 процентов. Если вести речь о единой ставке, тогда правомерно ставить вопрос и об установлении единого режима при исчислении налогооблагаемой прибыли. А это приведет к тому, например, что убытки банков от операций по купле-продаже иностранной валюты не будут учитываться в составе расходов, относимых на себестоимость оказываемых банками услуг, как не учитываются они у предприятий. В аналогичном режиме не должны учитываться в расчете налогооблагаемой прибыли отчисления в резерв на возможные потери по ссудам и под обесценение ценных бумаг. В итоге вместо предполагаемого снижения для банков налогового бремени правомерно прогнозировать его рост.</w:t>
      </w:r>
    </w:p>
    <w:p w:rsidR="00EE2429" w:rsidRDefault="00EE2429">
      <w:pPr>
        <w:pStyle w:val="a5"/>
        <w:rPr>
          <w:rFonts w:ascii="Courier New" w:hAnsi="Courier New" w:cs="Courier New"/>
          <w:color w:val="000000"/>
          <w:u w:val="none"/>
        </w:rPr>
      </w:pPr>
    </w:p>
    <w:p w:rsidR="00EE2429" w:rsidRDefault="00EE2429">
      <w:pPr>
        <w:pStyle w:val="a5"/>
        <w:rPr>
          <w:rFonts w:ascii="Courier New" w:hAnsi="Courier New" w:cs="Courier New"/>
          <w:color w:val="000000"/>
          <w:u w:val="none"/>
        </w:rPr>
      </w:pPr>
      <w:r>
        <w:rPr>
          <w:rFonts w:ascii="Courier New" w:hAnsi="Courier New" w:cs="Courier New"/>
          <w:color w:val="000000"/>
          <w:u w:val="none"/>
        </w:rPr>
        <w:t>Если говорить о реальном существенном снижении для банков сумм уплачиваемых в бюджет налогов, то оно связано с перспективой принятия второй части Налогового кодекса, т.к. в перечень налогов, устанавливаемых Кодексом, не входят налоги, взимаемые с выручки - налог на пользователей автомобильных дорог и налог на содержание жилищного фонда и объектов социально-культурной сферы, доля которых в общей сумме уплачиваемых налоговых платежей в бюджет и внебюджетные фонды составляет порядка 20 процентов.</w:t>
      </w:r>
    </w:p>
    <w:p w:rsidR="00EE2429" w:rsidRDefault="00EE2429">
      <w:pPr>
        <w:pStyle w:val="a5"/>
        <w:rPr>
          <w:rFonts w:ascii="Courier New" w:hAnsi="Courier New" w:cs="Courier New"/>
          <w:color w:val="000000"/>
          <w:u w:val="none"/>
        </w:rPr>
      </w:pPr>
    </w:p>
    <w:p w:rsidR="00EE2429" w:rsidRDefault="00EE2429">
      <w:pPr>
        <w:pStyle w:val="a5"/>
        <w:rPr>
          <w:rFonts w:ascii="Courier New" w:hAnsi="Courier New" w:cs="Courier New"/>
          <w:color w:val="000000"/>
          <w:u w:val="none"/>
        </w:rPr>
      </w:pPr>
      <w:r>
        <w:rPr>
          <w:rFonts w:ascii="Courier New" w:hAnsi="Courier New" w:cs="Courier New"/>
          <w:color w:val="000000"/>
          <w:u w:val="none"/>
        </w:rPr>
        <w:t>Что касается сегодняшнего дня, то наряду с работой над Налоговым кодексом актуальным является повышение уровня методологической работы по действующему налоговому законодательству, которая должна в большей мере гарантировать от ошибок в расчете налоговых платежей.</w:t>
      </w:r>
    </w:p>
    <w:p w:rsidR="00EE2429" w:rsidRDefault="00EE2429">
      <w:pPr>
        <w:pStyle w:val="a5"/>
        <w:rPr>
          <w:rFonts w:ascii="Courier New" w:hAnsi="Courier New" w:cs="Courier New"/>
          <w:color w:val="000000"/>
          <w:u w:val="none"/>
        </w:rPr>
      </w:pPr>
    </w:p>
    <w:p w:rsidR="00EE2429" w:rsidRDefault="00EE2429">
      <w:pPr>
        <w:pStyle w:val="a5"/>
        <w:rPr>
          <w:rFonts w:ascii="Courier New" w:hAnsi="Courier New" w:cs="Courier New"/>
          <w:color w:val="000000"/>
          <w:u w:val="none"/>
        </w:rPr>
      </w:pPr>
      <w:r>
        <w:rPr>
          <w:rFonts w:ascii="Courier New" w:hAnsi="Courier New" w:cs="Courier New"/>
          <w:color w:val="000000"/>
          <w:u w:val="none"/>
        </w:rPr>
        <w:t>Доля налоговых платежей, уплаченных коммерческими банками в бюджет</w:t>
      </w:r>
    </w:p>
    <w:p w:rsidR="00EE2429" w:rsidRDefault="00EE2429">
      <w:pPr>
        <w:pStyle w:val="a5"/>
        <w:rPr>
          <w:rFonts w:ascii="Courier New" w:hAnsi="Courier New" w:cs="Courier New"/>
          <w:color w:val="000000"/>
          <w:u w:val="none"/>
        </w:rPr>
      </w:pPr>
      <w:r>
        <w:rPr>
          <w:rFonts w:ascii="Courier New" w:hAnsi="Courier New" w:cs="Courier New"/>
          <w:color w:val="000000"/>
          <w:u w:val="none"/>
        </w:rPr>
        <w:t>и внебюджетные фонды за 9 месяцев 1999 г. в общей сумме доходов банка</w:t>
      </w:r>
    </w:p>
    <w:p w:rsidR="00EE2429" w:rsidRDefault="00EE2429">
      <w:pPr>
        <w:pStyle w:val="a5"/>
        <w:ind w:firstLine="0"/>
        <w:rPr>
          <w:rFonts w:ascii="Courier New" w:hAnsi="Courier New" w:cs="Courier New"/>
          <w:color w:val="000000"/>
          <w:u w:val="none"/>
        </w:rPr>
      </w:pPr>
      <w:r>
        <w:rPr>
          <w:rFonts w:ascii="Courier New" w:hAnsi="Courier New" w:cs="Courier New"/>
          <w:color w:val="000000"/>
          <w:u w:val="none"/>
        </w:rPr>
        <w:t>Код банка      Доля налоговых платежей в общей сумме доходов (%)</w:t>
      </w:r>
    </w:p>
    <w:p w:rsidR="00EE2429" w:rsidRDefault="00EE2429">
      <w:pPr>
        <w:pStyle w:val="a5"/>
        <w:rPr>
          <w:rFonts w:ascii="Courier New" w:hAnsi="Courier New" w:cs="Courier New"/>
          <w:color w:val="000000"/>
          <w:u w:val="none"/>
        </w:rPr>
      </w:pPr>
    </w:p>
    <w:p w:rsidR="00EE2429" w:rsidRDefault="00EE2429">
      <w:pPr>
        <w:pStyle w:val="a5"/>
        <w:rPr>
          <w:rFonts w:ascii="Courier New" w:hAnsi="Courier New" w:cs="Courier New"/>
          <w:color w:val="000000"/>
          <w:u w:val="none"/>
        </w:rPr>
      </w:pPr>
      <w:r>
        <w:rPr>
          <w:rFonts w:ascii="Courier New" w:hAnsi="Courier New" w:cs="Courier New"/>
          <w:color w:val="000000"/>
          <w:u w:val="none"/>
        </w:rPr>
        <w:t>1.      1,48</w:t>
      </w:r>
    </w:p>
    <w:p w:rsidR="00EE2429" w:rsidRDefault="00EE2429">
      <w:pPr>
        <w:pStyle w:val="a5"/>
        <w:rPr>
          <w:rFonts w:ascii="Courier New" w:hAnsi="Courier New" w:cs="Courier New"/>
          <w:color w:val="000000"/>
          <w:u w:val="none"/>
        </w:rPr>
      </w:pPr>
      <w:r>
        <w:rPr>
          <w:rFonts w:ascii="Courier New" w:hAnsi="Courier New" w:cs="Courier New"/>
          <w:color w:val="000000"/>
          <w:u w:val="none"/>
        </w:rPr>
        <w:t>*       10,5</w:t>
      </w:r>
    </w:p>
    <w:p w:rsidR="00EE2429" w:rsidRDefault="00EE2429">
      <w:pPr>
        <w:pStyle w:val="a5"/>
        <w:rPr>
          <w:rFonts w:ascii="Courier New" w:hAnsi="Courier New" w:cs="Courier New"/>
          <w:color w:val="000000"/>
          <w:u w:val="none"/>
        </w:rPr>
      </w:pPr>
      <w:r>
        <w:rPr>
          <w:rFonts w:ascii="Courier New" w:hAnsi="Courier New" w:cs="Courier New"/>
          <w:color w:val="000000"/>
          <w:u w:val="none"/>
        </w:rPr>
        <w:t>*       2</w:t>
      </w:r>
    </w:p>
    <w:p w:rsidR="00EE2429" w:rsidRDefault="00EE2429">
      <w:pPr>
        <w:pStyle w:val="a5"/>
        <w:rPr>
          <w:rFonts w:ascii="Courier New" w:hAnsi="Courier New" w:cs="Courier New"/>
          <w:color w:val="000000"/>
          <w:u w:val="none"/>
        </w:rPr>
      </w:pPr>
      <w:r>
        <w:rPr>
          <w:rFonts w:ascii="Courier New" w:hAnsi="Courier New" w:cs="Courier New"/>
          <w:color w:val="000000"/>
          <w:u w:val="none"/>
        </w:rPr>
        <w:t>*       4,1</w:t>
      </w:r>
    </w:p>
    <w:p w:rsidR="00EE2429" w:rsidRDefault="00EE2429">
      <w:pPr>
        <w:pStyle w:val="a5"/>
        <w:rPr>
          <w:rFonts w:ascii="Courier New" w:hAnsi="Courier New" w:cs="Courier New"/>
          <w:color w:val="000000"/>
          <w:u w:val="none"/>
        </w:rPr>
      </w:pPr>
      <w:r>
        <w:rPr>
          <w:rFonts w:ascii="Courier New" w:hAnsi="Courier New" w:cs="Courier New"/>
          <w:color w:val="000000"/>
          <w:u w:val="none"/>
        </w:rPr>
        <w:t>*       1,47</w:t>
      </w:r>
    </w:p>
    <w:p w:rsidR="00EE2429" w:rsidRDefault="00EE2429">
      <w:pPr>
        <w:pStyle w:val="a5"/>
        <w:rPr>
          <w:rFonts w:ascii="Courier New" w:hAnsi="Courier New" w:cs="Courier New"/>
          <w:color w:val="000000"/>
          <w:u w:val="none"/>
        </w:rPr>
      </w:pPr>
      <w:r>
        <w:rPr>
          <w:rFonts w:ascii="Courier New" w:hAnsi="Courier New" w:cs="Courier New"/>
          <w:color w:val="000000"/>
          <w:u w:val="none"/>
        </w:rPr>
        <w:t>*       4,36</w:t>
      </w:r>
    </w:p>
    <w:p w:rsidR="00EE2429" w:rsidRDefault="00EE2429">
      <w:pPr>
        <w:pStyle w:val="a5"/>
        <w:rPr>
          <w:rFonts w:ascii="Courier New" w:hAnsi="Courier New" w:cs="Courier New"/>
          <w:color w:val="000000"/>
          <w:u w:val="none"/>
        </w:rPr>
      </w:pPr>
      <w:r>
        <w:rPr>
          <w:rFonts w:ascii="Courier New" w:hAnsi="Courier New" w:cs="Courier New"/>
          <w:color w:val="000000"/>
          <w:u w:val="none"/>
        </w:rPr>
        <w:t>*       11,8</w:t>
      </w:r>
    </w:p>
    <w:p w:rsidR="00EE2429" w:rsidRDefault="00EE2429">
      <w:pPr>
        <w:pStyle w:val="a5"/>
        <w:rPr>
          <w:rFonts w:ascii="Courier New" w:hAnsi="Courier New" w:cs="Courier New"/>
          <w:color w:val="000000"/>
          <w:u w:val="none"/>
        </w:rPr>
      </w:pPr>
      <w:r>
        <w:rPr>
          <w:rFonts w:ascii="Courier New" w:hAnsi="Courier New" w:cs="Courier New"/>
          <w:color w:val="000000"/>
          <w:u w:val="none"/>
        </w:rPr>
        <w:t>*       5,25</w:t>
      </w:r>
    </w:p>
    <w:p w:rsidR="00EE2429" w:rsidRDefault="00EE2429">
      <w:pPr>
        <w:pStyle w:val="a5"/>
        <w:rPr>
          <w:rFonts w:ascii="Courier New" w:hAnsi="Courier New" w:cs="Courier New"/>
          <w:color w:val="000000"/>
          <w:u w:val="none"/>
        </w:rPr>
      </w:pPr>
      <w:r>
        <w:rPr>
          <w:rFonts w:ascii="Courier New" w:hAnsi="Courier New" w:cs="Courier New"/>
          <w:color w:val="000000"/>
          <w:u w:val="none"/>
        </w:rPr>
        <w:t>*       21,2</w:t>
      </w:r>
    </w:p>
    <w:p w:rsidR="00EE2429" w:rsidRDefault="00EE2429">
      <w:pPr>
        <w:pStyle w:val="a5"/>
        <w:rPr>
          <w:rFonts w:ascii="Courier New" w:hAnsi="Courier New" w:cs="Courier New"/>
          <w:color w:val="000000"/>
          <w:u w:val="none"/>
        </w:rPr>
      </w:pPr>
      <w:r>
        <w:rPr>
          <w:rFonts w:ascii="Courier New" w:hAnsi="Courier New" w:cs="Courier New"/>
          <w:color w:val="000000"/>
          <w:u w:val="none"/>
        </w:rPr>
        <w:t>*       7,72</w:t>
      </w:r>
    </w:p>
    <w:p w:rsidR="00EE2429" w:rsidRDefault="00EE2429">
      <w:pPr>
        <w:pStyle w:val="a5"/>
        <w:rPr>
          <w:rFonts w:ascii="Courier New" w:hAnsi="Courier New" w:cs="Courier New"/>
          <w:color w:val="000000"/>
          <w:u w:val="none"/>
        </w:rPr>
      </w:pPr>
      <w:r>
        <w:rPr>
          <w:rFonts w:ascii="Courier New" w:hAnsi="Courier New" w:cs="Courier New"/>
          <w:color w:val="000000"/>
          <w:u w:val="none"/>
        </w:rPr>
        <w:t>*       5,32</w:t>
      </w:r>
    </w:p>
    <w:p w:rsidR="00EE2429" w:rsidRDefault="00EE2429">
      <w:pPr>
        <w:pStyle w:val="a5"/>
        <w:rPr>
          <w:rFonts w:ascii="Courier New" w:hAnsi="Courier New" w:cs="Courier New"/>
          <w:color w:val="000000"/>
          <w:u w:val="none"/>
        </w:rPr>
      </w:pPr>
      <w:r>
        <w:rPr>
          <w:rFonts w:ascii="Courier New" w:hAnsi="Courier New" w:cs="Courier New"/>
          <w:color w:val="000000"/>
          <w:u w:val="none"/>
        </w:rPr>
        <w:t>*       2,77</w:t>
      </w:r>
    </w:p>
    <w:p w:rsidR="00EE2429" w:rsidRDefault="00EE2429">
      <w:pPr>
        <w:pStyle w:val="a5"/>
        <w:rPr>
          <w:rFonts w:ascii="Courier New" w:hAnsi="Courier New" w:cs="Courier New"/>
          <w:color w:val="000000"/>
          <w:u w:val="none"/>
        </w:rPr>
      </w:pPr>
    </w:p>
    <w:p w:rsidR="00EE2429" w:rsidRDefault="00EE2429">
      <w:pPr>
        <w:pStyle w:val="a5"/>
        <w:rPr>
          <w:rFonts w:ascii="Courier New" w:hAnsi="Courier New" w:cs="Courier New"/>
          <w:color w:val="000000"/>
          <w:u w:val="none"/>
        </w:rPr>
      </w:pPr>
      <w:r>
        <w:rPr>
          <w:rFonts w:ascii="Courier New" w:hAnsi="Courier New" w:cs="Courier New"/>
          <w:color w:val="000000"/>
          <w:u w:val="none"/>
        </w:rPr>
        <w:t>Завершается работа над новой редакцией Инструкции "О порядке исчисления и уплаты в бюджет налога на прибыль предприятий и организаций"; подготовлена к представлению в Минюст России новая редакция Инструкции "О порядке исчисления и уплаты в бюджет налога на имущество предприятий", где учтены предложения коммерческих банков по формированию налогооблагаемой базы для кредитных организаций. Совершенствуются методические разработки и по другим налогам.</w:t>
      </w:r>
    </w:p>
    <w:p w:rsidR="00EE2429" w:rsidRDefault="00EE2429">
      <w:pPr>
        <w:pStyle w:val="a5"/>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r>
        <w:rPr>
          <w:rFonts w:ascii="Courier New" w:hAnsi="Courier New" w:cs="Courier New"/>
          <w:color w:val="000000"/>
          <w:u w:val="none"/>
        </w:rPr>
        <w:t>Положительный эффект дала совместная работа, проведенная в 1999 г. со специалистами коммерческих банков над новой редакцией Положения об особенностях определения налогооблагаемой базы для уплаты налога на прибыль кредитными организациями. Хотя в виде постановления Правительства РФ этот документ принять не удалось, но его нормы внесены во вторую часть Налогового кодекса в виде особенностей определения доходов и расходов коммерческих банков. Полагаем, что аналогичный подход в рамках Российской ассоциации промышленно-строительных банков к вопросу разработки льгот, стимулирующих деятельность банков по долгосрочному кредитованию отечественной экономики, позволит разработать оптимальный вариант его решения.</w:t>
      </w: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rPr>
          <w:rFonts w:ascii="Courier New" w:hAnsi="Courier New" w:cs="Courier New"/>
          <w:color w:val="000000"/>
          <w:u w:val="none"/>
        </w:rPr>
      </w:pPr>
    </w:p>
    <w:p w:rsidR="00EE2429" w:rsidRDefault="00EE2429">
      <w:pPr>
        <w:pStyle w:val="a5"/>
        <w:ind w:firstLine="0"/>
        <w:jc w:val="center"/>
        <w:rPr>
          <w:rFonts w:ascii="Courier New" w:hAnsi="Courier New" w:cs="Courier New"/>
          <w:bCs/>
          <w:color w:val="000000"/>
        </w:rPr>
      </w:pPr>
      <w:r>
        <w:rPr>
          <w:rFonts w:ascii="Courier New" w:hAnsi="Courier New" w:cs="Courier New"/>
          <w:bCs/>
          <w:color w:val="000000"/>
        </w:rPr>
        <w:t>Список использованной литературы</w:t>
      </w:r>
    </w:p>
    <w:p w:rsidR="00EE2429" w:rsidRDefault="00EE2429">
      <w:pPr>
        <w:pStyle w:val="a5"/>
        <w:numPr>
          <w:ilvl w:val="0"/>
          <w:numId w:val="26"/>
        </w:numPr>
        <w:jc w:val="left"/>
        <w:rPr>
          <w:rFonts w:ascii="Courier New" w:hAnsi="Courier New" w:cs="Courier New"/>
          <w:color w:val="000000"/>
          <w:u w:val="none"/>
        </w:rPr>
      </w:pPr>
      <w:r>
        <w:rPr>
          <w:rFonts w:ascii="Courier New" w:hAnsi="Courier New" w:cs="Courier New"/>
          <w:color w:val="000000"/>
          <w:u w:val="none"/>
        </w:rPr>
        <w:t>Налоги, выпуск третий – четвертый, 1998</w:t>
      </w:r>
    </w:p>
    <w:p w:rsidR="00EE2429" w:rsidRDefault="00EE2429">
      <w:pPr>
        <w:pStyle w:val="a5"/>
        <w:numPr>
          <w:ilvl w:val="0"/>
          <w:numId w:val="26"/>
        </w:numPr>
        <w:jc w:val="left"/>
        <w:rPr>
          <w:rFonts w:ascii="Courier New" w:hAnsi="Courier New" w:cs="Courier New"/>
          <w:color w:val="000000"/>
          <w:u w:val="none"/>
        </w:rPr>
      </w:pPr>
      <w:r>
        <w:rPr>
          <w:rFonts w:ascii="Courier New" w:hAnsi="Courier New" w:cs="Courier New"/>
          <w:color w:val="000000"/>
          <w:u w:val="none"/>
        </w:rPr>
        <w:t>Налоги, выпуск первый, 1998</w:t>
      </w:r>
    </w:p>
    <w:p w:rsidR="00EE2429" w:rsidRDefault="00EE2429">
      <w:pPr>
        <w:pStyle w:val="a5"/>
        <w:numPr>
          <w:ilvl w:val="0"/>
          <w:numId w:val="26"/>
        </w:numPr>
        <w:jc w:val="left"/>
        <w:rPr>
          <w:rFonts w:ascii="Courier New" w:hAnsi="Courier New" w:cs="Courier New"/>
          <w:color w:val="000000"/>
          <w:u w:val="none"/>
        </w:rPr>
      </w:pPr>
      <w:r>
        <w:rPr>
          <w:u w:val="none"/>
        </w:rPr>
        <w:t>Налоги. Под ред.Черник Д.Г. 3-е изд. М.: Финансы и статистика, 1998.</w:t>
      </w:r>
    </w:p>
    <w:p w:rsidR="00EE2429" w:rsidRDefault="00EE2429">
      <w:pPr>
        <w:pStyle w:val="a5"/>
        <w:numPr>
          <w:ilvl w:val="0"/>
          <w:numId w:val="26"/>
        </w:numPr>
        <w:jc w:val="left"/>
        <w:rPr>
          <w:rFonts w:ascii="Courier New" w:hAnsi="Courier New" w:cs="Courier New"/>
          <w:color w:val="000000"/>
          <w:u w:val="none"/>
        </w:rPr>
      </w:pPr>
      <w:r>
        <w:rPr>
          <w:u w:val="none"/>
        </w:rPr>
        <w:t>Энциклопедия Российского права. СПС (март 1999)</w:t>
      </w:r>
    </w:p>
    <w:p w:rsidR="00EE2429" w:rsidRDefault="00EE2429">
      <w:pPr>
        <w:pStyle w:val="a5"/>
        <w:numPr>
          <w:ilvl w:val="0"/>
          <w:numId w:val="26"/>
        </w:numPr>
        <w:jc w:val="left"/>
        <w:rPr>
          <w:rFonts w:ascii="Courier New" w:hAnsi="Courier New" w:cs="Courier New"/>
          <w:color w:val="000000"/>
          <w:u w:val="none"/>
        </w:rPr>
      </w:pPr>
      <w:r>
        <w:rPr>
          <w:rFonts w:ascii="Courier New" w:hAnsi="Courier New" w:cs="Courier New"/>
          <w:color w:val="000000"/>
          <w:u w:val="none"/>
        </w:rPr>
        <w:t>Еженедельник "Закон. Финансы. Налоги" Статья «Налогообложение банков» Владимир СЛЕПОВ, советник налоговой службы I ранга, начальник отдела методической и контрольной работы по налогообложению банков УМНС РФ по Нижегородской области</w:t>
      </w:r>
    </w:p>
    <w:p w:rsidR="00EE2429" w:rsidRDefault="00EE2429">
      <w:pPr>
        <w:pStyle w:val="a5"/>
        <w:numPr>
          <w:ilvl w:val="0"/>
          <w:numId w:val="26"/>
        </w:numPr>
        <w:jc w:val="left"/>
        <w:rPr>
          <w:rFonts w:ascii="Courier New" w:hAnsi="Courier New" w:cs="Courier New"/>
          <w:color w:val="000000"/>
          <w:u w:val="none"/>
        </w:rPr>
      </w:pPr>
      <w:r>
        <w:rPr>
          <w:rFonts w:ascii="Courier New" w:hAnsi="Courier New" w:cs="Courier New"/>
          <w:color w:val="000000"/>
          <w:u w:val="none"/>
        </w:rPr>
        <w:t>Еженедельник "Закон. Финансы. Налоги" статья «Основные направления реформирования налогообложения банков» К.И.ОГАНЯН, директор Департамента методологии налогообложения прибыли и бухучета для целей налогообложения Министерства РФ по налогам и сборам, заместитель министра финансов РФ</w:t>
      </w:r>
    </w:p>
    <w:p w:rsidR="00EE2429" w:rsidRDefault="00EE2429">
      <w:pPr>
        <w:pStyle w:val="a5"/>
        <w:ind w:firstLine="0"/>
        <w:rPr>
          <w:rFonts w:ascii="Courier New" w:hAnsi="Courier New" w:cs="Courier New"/>
          <w:color w:val="000000"/>
          <w:u w:val="none"/>
        </w:rPr>
      </w:pPr>
      <w:bookmarkStart w:id="0" w:name="_GoBack"/>
      <w:bookmarkEnd w:id="0"/>
    </w:p>
    <w:sectPr w:rsidR="00EE2429">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429" w:rsidRDefault="00EE2429">
      <w:r>
        <w:separator/>
      </w:r>
    </w:p>
  </w:endnote>
  <w:endnote w:type="continuationSeparator" w:id="0">
    <w:p w:rsidR="00EE2429" w:rsidRDefault="00EE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429" w:rsidRDefault="00EE2429">
      <w:r>
        <w:separator/>
      </w:r>
    </w:p>
  </w:footnote>
  <w:footnote w:type="continuationSeparator" w:id="0">
    <w:p w:rsidR="00EE2429" w:rsidRDefault="00EE2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29" w:rsidRDefault="00EE2429">
    <w:pPr>
      <w:pStyle w:val="a3"/>
      <w:framePr w:wrap="around" w:vAnchor="text" w:hAnchor="margin" w:xAlign="right" w:y="1"/>
      <w:rPr>
        <w:rStyle w:val="a4"/>
      </w:rPr>
    </w:pPr>
  </w:p>
  <w:p w:rsidR="00EE2429" w:rsidRDefault="00EE242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29" w:rsidRDefault="005D71DA">
    <w:pPr>
      <w:pStyle w:val="a3"/>
      <w:framePr w:wrap="around" w:vAnchor="text" w:hAnchor="margin" w:xAlign="right" w:y="1"/>
      <w:rPr>
        <w:rStyle w:val="a4"/>
      </w:rPr>
    </w:pPr>
    <w:r>
      <w:rPr>
        <w:rStyle w:val="a4"/>
        <w:noProof/>
      </w:rPr>
      <w:t>1</w:t>
    </w:r>
  </w:p>
  <w:p w:rsidR="00EE2429" w:rsidRDefault="00EE242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2D3A"/>
    <w:multiLevelType w:val="singleLevel"/>
    <w:tmpl w:val="934EA806"/>
    <w:lvl w:ilvl="0">
      <w:start w:val="49"/>
      <w:numFmt w:val="bullet"/>
      <w:lvlText w:val="-"/>
      <w:lvlJc w:val="left"/>
      <w:pPr>
        <w:tabs>
          <w:tab w:val="num" w:pos="360"/>
        </w:tabs>
        <w:ind w:left="360" w:hanging="360"/>
      </w:pPr>
      <w:rPr>
        <w:rFonts w:ascii="Times New Roman" w:hAnsi="Times New Roman" w:hint="default"/>
      </w:rPr>
    </w:lvl>
  </w:abstractNum>
  <w:abstractNum w:abstractNumId="1">
    <w:nsid w:val="0DC502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8F1064"/>
    <w:multiLevelType w:val="singleLevel"/>
    <w:tmpl w:val="0419000F"/>
    <w:lvl w:ilvl="0">
      <w:start w:val="1"/>
      <w:numFmt w:val="decimal"/>
      <w:lvlText w:val="%1."/>
      <w:lvlJc w:val="left"/>
      <w:pPr>
        <w:tabs>
          <w:tab w:val="num" w:pos="360"/>
        </w:tabs>
        <w:ind w:left="360" w:hanging="360"/>
      </w:pPr>
    </w:lvl>
  </w:abstractNum>
  <w:abstractNum w:abstractNumId="3">
    <w:nsid w:val="11563DBA"/>
    <w:multiLevelType w:val="singleLevel"/>
    <w:tmpl w:val="0419000F"/>
    <w:lvl w:ilvl="0">
      <w:start w:val="1"/>
      <w:numFmt w:val="decimal"/>
      <w:lvlText w:val="%1."/>
      <w:lvlJc w:val="left"/>
      <w:pPr>
        <w:tabs>
          <w:tab w:val="num" w:pos="360"/>
        </w:tabs>
        <w:ind w:left="360" w:hanging="360"/>
      </w:pPr>
    </w:lvl>
  </w:abstractNum>
  <w:abstractNum w:abstractNumId="4">
    <w:nsid w:val="191608C5"/>
    <w:multiLevelType w:val="singleLevel"/>
    <w:tmpl w:val="0419000F"/>
    <w:lvl w:ilvl="0">
      <w:start w:val="1"/>
      <w:numFmt w:val="decimal"/>
      <w:lvlText w:val="%1."/>
      <w:lvlJc w:val="left"/>
      <w:pPr>
        <w:tabs>
          <w:tab w:val="num" w:pos="360"/>
        </w:tabs>
        <w:ind w:left="360" w:hanging="360"/>
      </w:pPr>
    </w:lvl>
  </w:abstractNum>
  <w:abstractNum w:abstractNumId="5">
    <w:nsid w:val="19F218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AFF6D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E7B79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F51F69"/>
    <w:multiLevelType w:val="singleLevel"/>
    <w:tmpl w:val="0419000F"/>
    <w:lvl w:ilvl="0">
      <w:start w:val="1"/>
      <w:numFmt w:val="decimal"/>
      <w:lvlText w:val="%1."/>
      <w:lvlJc w:val="left"/>
      <w:pPr>
        <w:tabs>
          <w:tab w:val="num" w:pos="360"/>
        </w:tabs>
        <w:ind w:left="360" w:hanging="360"/>
      </w:pPr>
    </w:lvl>
  </w:abstractNum>
  <w:abstractNum w:abstractNumId="9">
    <w:nsid w:val="25FF5D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7884E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86728A9"/>
    <w:multiLevelType w:val="singleLevel"/>
    <w:tmpl w:val="0C266C96"/>
    <w:lvl w:ilvl="0">
      <w:start w:val="1"/>
      <w:numFmt w:val="decimal"/>
      <w:lvlText w:val="%1)"/>
      <w:lvlJc w:val="left"/>
      <w:pPr>
        <w:tabs>
          <w:tab w:val="num" w:pos="1260"/>
        </w:tabs>
        <w:ind w:left="1260" w:hanging="540"/>
      </w:pPr>
      <w:rPr>
        <w:rFonts w:hint="default"/>
      </w:rPr>
    </w:lvl>
  </w:abstractNum>
  <w:abstractNum w:abstractNumId="12">
    <w:nsid w:val="30E73D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2BF777F"/>
    <w:multiLevelType w:val="singleLevel"/>
    <w:tmpl w:val="0419000F"/>
    <w:lvl w:ilvl="0">
      <w:start w:val="1"/>
      <w:numFmt w:val="decimal"/>
      <w:lvlText w:val="%1."/>
      <w:lvlJc w:val="left"/>
      <w:pPr>
        <w:tabs>
          <w:tab w:val="num" w:pos="360"/>
        </w:tabs>
        <w:ind w:left="360" w:hanging="360"/>
      </w:pPr>
    </w:lvl>
  </w:abstractNum>
  <w:abstractNum w:abstractNumId="14">
    <w:nsid w:val="35C172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68C67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EEA4C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26436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5D83D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8191FA6"/>
    <w:multiLevelType w:val="singleLevel"/>
    <w:tmpl w:val="934EA806"/>
    <w:lvl w:ilvl="0">
      <w:start w:val="49"/>
      <w:numFmt w:val="bullet"/>
      <w:lvlText w:val="-"/>
      <w:lvlJc w:val="left"/>
      <w:pPr>
        <w:tabs>
          <w:tab w:val="num" w:pos="360"/>
        </w:tabs>
        <w:ind w:left="360" w:hanging="360"/>
      </w:pPr>
      <w:rPr>
        <w:rFonts w:ascii="Times New Roman" w:hAnsi="Times New Roman" w:hint="default"/>
      </w:rPr>
    </w:lvl>
  </w:abstractNum>
  <w:abstractNum w:abstractNumId="20">
    <w:nsid w:val="4BE269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CAC30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86D5B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CE442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DC97D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A5C712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8"/>
  </w:num>
  <w:num w:numId="3">
    <w:abstractNumId w:val="17"/>
  </w:num>
  <w:num w:numId="4">
    <w:abstractNumId w:val="10"/>
  </w:num>
  <w:num w:numId="5">
    <w:abstractNumId w:val="14"/>
  </w:num>
  <w:num w:numId="6">
    <w:abstractNumId w:val="2"/>
  </w:num>
  <w:num w:numId="7">
    <w:abstractNumId w:val="3"/>
  </w:num>
  <w:num w:numId="8">
    <w:abstractNumId w:val="11"/>
  </w:num>
  <w:num w:numId="9">
    <w:abstractNumId w:val="0"/>
  </w:num>
  <w:num w:numId="10">
    <w:abstractNumId w:val="19"/>
  </w:num>
  <w:num w:numId="11">
    <w:abstractNumId w:val="24"/>
  </w:num>
  <w:num w:numId="12">
    <w:abstractNumId w:val="23"/>
  </w:num>
  <w:num w:numId="13">
    <w:abstractNumId w:val="25"/>
  </w:num>
  <w:num w:numId="14">
    <w:abstractNumId w:val="1"/>
  </w:num>
  <w:num w:numId="15">
    <w:abstractNumId w:val="7"/>
  </w:num>
  <w:num w:numId="16">
    <w:abstractNumId w:val="13"/>
  </w:num>
  <w:num w:numId="17">
    <w:abstractNumId w:val="4"/>
  </w:num>
  <w:num w:numId="18">
    <w:abstractNumId w:val="8"/>
  </w:num>
  <w:num w:numId="19">
    <w:abstractNumId w:val="22"/>
  </w:num>
  <w:num w:numId="20">
    <w:abstractNumId w:val="12"/>
  </w:num>
  <w:num w:numId="21">
    <w:abstractNumId w:val="5"/>
  </w:num>
  <w:num w:numId="22">
    <w:abstractNumId w:val="16"/>
  </w:num>
  <w:num w:numId="23">
    <w:abstractNumId w:val="21"/>
  </w:num>
  <w:num w:numId="24">
    <w:abstractNumId w:val="6"/>
  </w:num>
  <w:num w:numId="25">
    <w:abstractNumId w:val="2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1DA"/>
    <w:rsid w:val="005D71DA"/>
    <w:rsid w:val="00743DFC"/>
    <w:rsid w:val="009676A6"/>
    <w:rsid w:val="00EE2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D9F3A4-6E06-4FBA-B88E-89EF612E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jc w:val="center"/>
      <w:outlineLvl w:val="2"/>
    </w:pPr>
    <w:rPr>
      <w:rFonts w:ascii="Courier New" w:hAnsi="Courier New"/>
      <w:snapToGrid w:val="0"/>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pPr>
      <w:ind w:firstLine="720"/>
    </w:pPr>
    <w:rPr>
      <w:rFonts w:ascii="Courier New" w:hAnsi="Courier New" w:cs="Courier New"/>
      <w:sz w:val="28"/>
    </w:rPr>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ind w:firstLine="720"/>
      <w:jc w:val="both"/>
    </w:pPr>
    <w:rPr>
      <w:szCs w:val="20"/>
      <w:u w:val="single"/>
    </w:rPr>
  </w:style>
  <w:style w:type="paragraph" w:styleId="2">
    <w:name w:val="Body Text Indent 2"/>
    <w:basedOn w:val="a"/>
    <w:semiHidden/>
    <w:pPr>
      <w:ind w:left="36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7364</Words>
  <Characters>41979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ATRAKCION</dc:creator>
  <cp:keywords/>
  <dc:description/>
  <cp:lastModifiedBy>admin</cp:lastModifiedBy>
  <cp:revision>2</cp:revision>
  <dcterms:created xsi:type="dcterms:W3CDTF">2014-02-08T02:41:00Z</dcterms:created>
  <dcterms:modified xsi:type="dcterms:W3CDTF">2014-02-08T02:41:00Z</dcterms:modified>
</cp:coreProperties>
</file>