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770" w:rsidRDefault="00A72770">
      <w:pPr>
        <w:pStyle w:val="1"/>
      </w:pPr>
      <w:r>
        <w:t>Министерство общего и профессионального образования РФ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>Санкт-Петербургский государственный университет технологии и дизайна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Кафедра экономики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НАЛОГООБЛОЖЕНИЕ ДОХОДОВ ИНОСТРАННЫХ     </w:t>
      </w: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ЮРИДИЧЕСКИХ ЛИЦ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 xml:space="preserve">Курсовая работа по дисциплине: ''Финансирование и кредитование     </w:t>
      </w: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промышленности''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>Руководитель</w:t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 w:rsidRPr="00A72770">
        <w:rPr>
          <w:sz w:val="30"/>
          <w:szCs w:val="30"/>
        </w:rPr>
        <w:tab/>
      </w:r>
      <w:r>
        <w:rPr>
          <w:sz w:val="30"/>
          <w:szCs w:val="30"/>
        </w:rPr>
        <w:t>Т.В.Андреева</w:t>
      </w:r>
    </w:p>
    <w:p w:rsidR="00A72770" w:rsidRP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>Работу выполнила</w:t>
      </w: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>студентка группы 5-ЭД-4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Г.А.Мингазова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 xml:space="preserve">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Санкт-Петербург</w:t>
      </w: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1999</w:t>
      </w: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РЕФЕРАТ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pStyle w:val="a3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Курсовая работа содержит 43 стр., 8 табл., 1 приложение. Библиографи-ческий список – 6 наим.</w:t>
      </w:r>
    </w:p>
    <w:p w:rsidR="00A72770" w:rsidRDefault="00A72770">
      <w:pPr>
        <w:rPr>
          <w:sz w:val="28"/>
          <w:szCs w:val="28"/>
        </w:rPr>
      </w:pPr>
    </w:p>
    <w:p w:rsidR="00A72770" w:rsidRDefault="00A72770">
      <w:pPr>
        <w:rPr>
          <w:sz w:val="28"/>
          <w:szCs w:val="28"/>
        </w:rPr>
      </w:pPr>
      <w:r>
        <w:rPr>
          <w:sz w:val="28"/>
          <w:szCs w:val="28"/>
        </w:rPr>
        <w:tab/>
        <w:t>ДОХОД, ИНВЕСТИЦИИ, ИНСТРУКЦИЯ, НАЛОГООБЛОЖЕНИЕ, НАЛОГОПЛАТЕЛЬЩИК, ОТДЕЛЕНИЕ, ПРИБЫЛЬ, ПРЕДСТАВИТЕЛЬСТВО, СТАТУС, РЕЗИДЕНТ, УЧЕТ</w:t>
      </w:r>
    </w:p>
    <w:p w:rsidR="00A72770" w:rsidRDefault="00A72770">
      <w:pPr>
        <w:rPr>
          <w:sz w:val="28"/>
          <w:szCs w:val="28"/>
        </w:rPr>
      </w:pPr>
    </w:p>
    <w:p w:rsidR="00A72770" w:rsidRDefault="00A72770">
      <w:pPr>
        <w:pStyle w:val="3"/>
      </w:pPr>
      <w:r>
        <w:tab/>
        <w:t>В курсовой работе рассмотрены вопросы налогообложения доходов ино-странных юридических лиц, проанализированы проблемы привлечения в стра-ну иностранных инвестиций. В данной работе также уделяется внимание изме-нениям законодательных и нормативных актов, произошедшим в последнее время, определяются меры по совершенствованию налогового регулирования деятельности иностранных компаний.</w:t>
      </w:r>
    </w:p>
    <w:p w:rsidR="00A72770" w:rsidRDefault="00A72770">
      <w:pPr>
        <w:rPr>
          <w:sz w:val="28"/>
          <w:szCs w:val="28"/>
        </w:rPr>
      </w:pPr>
      <w:r>
        <w:rPr>
          <w:sz w:val="28"/>
          <w:szCs w:val="28"/>
        </w:rPr>
        <w:tab/>
        <w:t>В работе также ставится вопрос налоговой юрисдикции государства, ко-торый решается на основе критериев территориальности и резидентства., опре-деляется порядок налогообложения прибыли, порядок определения налогооб-лагаемой базы.</w:t>
      </w:r>
    </w:p>
    <w:p w:rsidR="00A72770" w:rsidRDefault="00A72770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части курсовой работы производится анализ платежеспо-собности и финансовой устойчивости предприятия. Анализ финансовой устой-чивости проводится с помощью и абсолютных, и относительных показателей. </w:t>
      </w:r>
    </w:p>
    <w:p w:rsidR="00A72770" w:rsidRDefault="00A7277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A72770" w:rsidRDefault="00A72770">
      <w:pPr>
        <w:rPr>
          <w:sz w:val="28"/>
          <w:szCs w:val="28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СОДЕРЖАНИЕ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>Введение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4</w:t>
      </w:r>
    </w:p>
    <w:p w:rsidR="00A72770" w:rsidRDefault="00A72770">
      <w:pPr>
        <w:rPr>
          <w:sz w:val="26"/>
          <w:szCs w:val="26"/>
        </w:rPr>
      </w:pPr>
      <w:r>
        <w:rPr>
          <w:sz w:val="30"/>
          <w:szCs w:val="30"/>
        </w:rPr>
        <w:t>1.</w:t>
      </w:r>
      <w:r>
        <w:rPr>
          <w:sz w:val="26"/>
          <w:szCs w:val="26"/>
        </w:rPr>
        <w:t xml:space="preserve">Проблемы, препятствующие активному привлечению иностранных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инвестиций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2. Меры по совершенствованию налогового регулирования деятель-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ности иностранных компаний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 Налогообложение иностранных юридических лиц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3.1. Налоговые соглашения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13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3.2. Налогообложение прибыли и доходов иностранных юридических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лиц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16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3.3. Постановка иностранных юридических лиц на учет в налоговых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органах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17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3.4. Порядок исчисления и уплаты в бюджет налога на прибыль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21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3.5. Налогообложение доходов иностранных юридических лиц,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не связанных с деятельность в РФ через постоянные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представительства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23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4. Анализ платежеспособности и финансовой устойчивости </w:t>
      </w:r>
    </w:p>
    <w:p w:rsidR="00A72770" w:rsidRDefault="00A72770">
      <w:pPr>
        <w:rPr>
          <w:sz w:val="26"/>
          <w:szCs w:val="26"/>
        </w:rPr>
      </w:pPr>
      <w:r>
        <w:rPr>
          <w:sz w:val="30"/>
          <w:szCs w:val="30"/>
        </w:rPr>
        <w:t xml:space="preserve">   </w:t>
      </w:r>
      <w:r>
        <w:rPr>
          <w:sz w:val="26"/>
          <w:szCs w:val="26"/>
        </w:rPr>
        <w:t>предприятия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4.1. Расчет показателей платежеспособности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27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4.2. Расчет абсолютных показателей финансовой устойчивости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30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4.3. Расчет относительных показателей финансовой устойчивости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35</w:t>
      </w:r>
    </w:p>
    <w:p w:rsidR="00A72770" w:rsidRDefault="00A72770">
      <w:pPr>
        <w:pStyle w:val="1"/>
        <w:rPr>
          <w:sz w:val="26"/>
          <w:szCs w:val="26"/>
        </w:rPr>
      </w:pPr>
      <w:r>
        <w:t xml:space="preserve">Заключение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41</w:t>
      </w:r>
    </w:p>
    <w:p w:rsidR="00A72770" w:rsidRDefault="00A72770">
      <w:pPr>
        <w:pStyle w:val="2"/>
      </w:pPr>
      <w:r>
        <w:t>Список использованных источников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  <w:r>
        <w:tab/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</w:t>
      </w:r>
      <w:r>
        <w:rPr>
          <w:sz w:val="30"/>
          <w:szCs w:val="30"/>
        </w:rPr>
        <w:tab/>
        <w:t>Введение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26"/>
          <w:szCs w:val="26"/>
        </w:rPr>
      </w:pPr>
      <w:r>
        <w:rPr>
          <w:sz w:val="30"/>
          <w:szCs w:val="30"/>
        </w:rPr>
        <w:tab/>
        <w:t>Г</w:t>
      </w:r>
      <w:r>
        <w:rPr>
          <w:sz w:val="26"/>
          <w:szCs w:val="26"/>
        </w:rPr>
        <w:t>осударство, выражая интересы общества в различных сферах жизнедеятель-ности, вырабатывает и осуществляет соответствующую политику – экономическую, социальную, экологическую, демографическую и др. При этом в качестве средства взаимодействия объекта и субъекта государственного регулирования социально-эко-номических процессов используются финансово-кредитный и ценовой механизмы.</w:t>
      </w:r>
    </w:p>
    <w:p w:rsidR="00A72770" w:rsidRDefault="00A72770">
      <w:pPr>
        <w:pStyle w:val="a3"/>
        <w:spacing w:line="240" w:lineRule="auto"/>
      </w:pPr>
      <w:r>
        <w:tab/>
        <w:t>Финансово-бюджетная система охватывает отношения по поводу формирования и использования финансовых ресурсов государства – бюджета и вне-бюджетных фондов. Она призвана обеспечивать эффективную реализацию социаль-ной,  экономической, оборонной и других функций государства. Важной ''кровенос-ной артерией'' финансово-бюджетной системы являются налоги.</w:t>
      </w:r>
    </w:p>
    <w:p w:rsidR="00A72770" w:rsidRDefault="00A72770">
      <w:pPr>
        <w:pStyle w:val="a3"/>
        <w:spacing w:line="240" w:lineRule="auto"/>
      </w:pPr>
      <w:r>
        <w:tab/>
        <w:t>Налоги возникли вместе с товарным производством, разделением общества на классы и появлением государства, которому требовались средства на содержание ар-мии, судов, чиновников и другие нужды. В эпоху становления и развития капиталис-тических отношений значение налогов стало усиливаться: для содержания армии и флота, обеспечивающих завоевание новых территорий – рынков сырья и сбыта гото-вой продукции, казне нужны были дополнительные средства.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Изъятие государством в пользу общества определенной части стоимости вало-вого внутреннего продукта в виде обязательного взноса составляет сущность налога. Взносы осуществляют основные участники производства валового внутреннего про-дукта: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работники, своим трудом создающие материальные и нематериальные блага и получающие определенный доход;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хозяйствующие субъекты, владельцы капитала, действующие в сфере пред-принимательства.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За счет налоговых взносов, сборов, пошлин и других платежей формируются финансовые ресурсы государства. Экономическое содержание налогов выражается, таким образам, взаимоотношениями хозяйствующих субъектов и граждан, с одной стороны, и государства, с другой стороны, по поводу формирования государственных финансов.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А.Смит в своем классическом сочинении ''Исследование о природе и причинах богатсва народов'' считал основными принципами налогообложения всеобщность, справедливость, определенность и удобность. Подданные государства, отмечал его российский последователь Н.И.Тургенев, должны давать ''средства к достижению це-ли общества или государства'' каждый по возможности и соразмерно своему доходу по заранее установленным правилам (сроки платежа, способ взимания), удобным для плательщика. Важность и выгодность соразмерности податей умели ценить еще во времена Римской империи. Один из губернаторов писал Тиберию, что он легко может увеличить налоги в своей провинции. Тиран отвечал, что хороший пастырь должен стричь овец своих, но не резать. Со временем этот перечень был дополнен принципа-ми обеспечения достаточности и подвижности налогов (налог может быть увеличен или сокращен в соответствии с объективными нуждами и возможностями государст-ва), выбора надлежащего источники и объекта налогообложения, однократности об-ложения.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Перечисленные принципы налогообложения учитывались и при формировании новой налоговой системы России, адекватной рыночным преобразованиям. В конце 1991г. был принят Закон РФ ''Об основах налоговой системы Российской Федерации''. Впоследствии в закон вносились изменения и дополнения, корректирующие меха-низм налогообложения и структуру налогов. При этом, однако, неоднократно нару-шался принцип справедливости: вносимые изменения утверждались законодательны-ми актами ''задним числом''.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Всеобщим исходным источником налоговых отчислений, сборов, пошлин и других платежей независимо от объекта налогообложения является валовой внутрен-ний продукт (ВВП). ВВП образует первичные денежные доходы основных участни-ков общественного производства и государства как организатора хозяйственной жиз-ни в национальном масштабе: оплата труда работников, прибыль хозяйствующих субъектов и централизованный доход государства (налоги в бюджет, а социальные отчисления – во внебюджетные фонды). Образованием первичных денежных доходов не ограничивается процесс стоимостного распределения валового продукта. Он про-должается в распределении денежных доходов основных участников общественного производства в пользу государства: от работников – в форме подоходного налога (12% и более) и отчислений в пенсионный фонд (1%), а от хозяйствующих субъектов-     в форме налога на прибыль и других налоговых платежей и сборов.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Законодательством установлено, что объектами налогообложения являются: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прибыль (доход);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стоимость определенных товаров;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добавленная стоимость продукции, работ, услуг;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имущество юридических и физических лиц;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передача имущества (дарение, наследование(;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операции с ценными бумагами;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отдельные виды деятельности;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другие объекты, установленные законом.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Один и тот же объект облагается налогом данного вида только один раз за уста-новленный период налогообложения (месяц, квартал, полугодие, год).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Общее количество налогоплательщиков определяется количеством юридичес-ких лиц (коммерческих и некоммерческих), численностью граждан, зарегистрирован-ных в налоговых органах в качестве предпринимателей без образования юридическо-го лица, и численностью граждан, уплачивающих подоходный налог по месту получе-ния заработной платы.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Налоговая система РФ представлена совокупностью налогов, сборов, пошлин и других платежей, взимаемых в установленном порядке с плательщиков – юридичес-ких и физических лиц на территории страны. Все налоги, сборы, пошлины и другие платежи ''питают'' бюджетную систему РФ. Кроме того, существуют государственные внебюджетные фонды, доходная часть которых формируется за счет целевых отчис-лений. Источником этих отчислений также является произведенный ВВП, за счет ко-торого на стадии образования первичных доходов формируется соответствующая часть платежей во внебюджетные фонды социального назначения по тарифам страхо-вых взносов, привязанных к оплате труда и включаемых в себестоимость продукции.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Функция налогов – это проявление его сущности в действии, способ выраже-ния его свойств. Функция показывает, каким образом реализуется общественное наз-начение данной экономической категории как инструмента стоимостного распределе-ния и перераспределения доходов. Отсюда возникает главная распределительная функция налогов, выражающая их сущность как особого централизованного  (фис-кального) инструмента распределительных отношений в обществе.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Посредством фискальной функции реализуется главное общественное назна-чение налогов – формирование финансовых ресурсов государства, аккумулируемых в бюджетной системе и внебюджетных фондах и необходимых для осуществления соб-ственных функций (оборонных, социальных, природоохранных и пр.). Формирование доходов государственного бюджета на основе стабильного и централизованного взи-мания налогов превращает само государство в крупнейшего экономического субъек-та.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Другая функция налогов как экономической категории состоит в том, сто появ-ляется возможность количественного отражения налоговых поступлений и их сопос-тавления с потребностями государства в финансовых ресурсах. Благодаря контроль-ной функции оценивается эффективность налогового механизма, обеспечивается кон-троль за движением финансовых ресурсов, выявляется необходимость внесения изме-нений в налоговую систему и бюджетную политику. Контрольная функция налогово-финансовых отношений проявляется лишь в условиях действия распределительной функции. Таким образом, обе функции в органическом единстве определяют эффек-тивность налогово-финансовых отношений и бюджетной политики.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Осуществление контрольной функции налогов, ее полнота и глубина в извест-ной мере зависят от налоговой дисциплины. Суть ее в том, чтобы налогоплательщики своевременно и в полном объеме уплачивали установленные законодательством нало-ги. Практика работы налоговых органов показывает, что нарушение сроков и полноты уплаты налогов – явление частое.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Распределительная функция налогов обладает рядом свойств, характеризую-щих многогранность ее роли в воспроизводственном процессе. Это прежде всего то, что изначально распределительная функция налогов носила чисто фискальный харак-тер: наполнять государственную казну, чтобы иметь возможность содержать армию, чиновничий аппарат, а со временем и социальную сферу (просвещение, здравоохране-ние и т.д. Но с тех пор, как государство посчитало необходимым активно участвовать в организации хозяйственной жизни в стране, у функции появилось регулирующее свойство, которое осуществляется через налоговый механизм. В налоговом регулиро-вании возникла стимулирующая подфункция, которая реализуется через систему льгот, преференций (предпочтений).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Законе РФ ''Об основах налоговой системы в РФ'' предусмотрены следующие виды льгот: необлагаемый минимум объекта налога; изъятие из обложения опреде-ленных элементов объекта; освобождение от уплаты налогов отдельных лиц или кате-горий плательщиков; понижение налоговых ставок; целевые налоговые льготы, вклю-чая налоговые кредиты (отсрочки взимания налогов), прочие налоговые льготы.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Льготы по налогообложению прибыли предприятий направлены на стимулиро-вание: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финансирования затрат на развитие производства и жилищное строительство;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малых форм предпринимательства;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занятости инвалидов и пенсионеров;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благотворительной деятельности в социально-культурной и природоохранной сферах.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Налоговый кредит представляет собой целевую отсрочку налогового платежа на кредитной основе. Отсроченная сумма налогового платежа используется для ин-вестиций в основной или оборотный капитал. Кредитное соглашение, заключаемое между предприятием-получателем и финансовым органом исполнительной власти субъекта РФ, может предусматривать уплату процентов за пользование инвестицион-ным налоговым кредитом.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Федеральным Законом от 20 декабря 1991 г. №2071-1 ''Об инвестиционном на-логовом кредите'' установлены следующие способы предоставления предприятию на-логового кредита: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уменьшение суммы налогового платежа в течение определенного периода (путем уменьшения авансовых платежей по налогу на прибыль);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компенсация платежей по процентам, начисляемым на сумму целевого креди-та, полученного предприятием в банковском или ином кредитном учреждении (путем уменьшения суммы налоговых платежей, рассчитанных по налогу на имущество предприятия, на сумму процентов за полученный кредит);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целевая налоговая льгота, т.е. налоговое освобождение, предоставляемое субъектом РФ в пределах налоговых платежей, зачисляемых в свой бюджет в течение определенного периода.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Субъекты РФ в своих законодательных актах в пределах компенсации устанав-ливают собственный перечень налоговых льгот, дополняющих федеральные льготы. Установленные законом налоговые льготы учитываются при ежегодной разработке областного бюджета.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Преференции устанавливаются, как правило, в виде скидок (отмены) таможен-ных пошлин на ввозимые в страну товары определенной номенклатуры, которые на отечественных предприятиях не производятся либо изготавливаются в недостаточных объемах. Преференциональный импортный режим распространяется и в отношении товаров, происходящих их развивающихся стран. Список товаров и стран определяет-ся федеральным правительством.</w:t>
      </w:r>
    </w:p>
    <w:p w:rsidR="00A72770" w:rsidRDefault="00A72770">
      <w:pPr>
        <w:rPr>
          <w:sz w:val="30"/>
          <w:szCs w:val="30"/>
        </w:rPr>
      </w:pPr>
      <w:r>
        <w:rPr>
          <w:sz w:val="26"/>
          <w:szCs w:val="26"/>
        </w:rPr>
        <w:tab/>
        <w:t>Функцию воспроизводственного назначения несут в себе платежи за пользова-ние природными ресурсами, налоги, взимаемые в дорожные фонды, на воспроизвод-ство минерально-сырьевой базы. Эти налоги используются для финансирования рас-ходов из соответствующих целевых бюджетных фондов, где они и аккумулируются.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30"/>
          <w:szCs w:val="30"/>
        </w:rPr>
        <w:t xml:space="preserve">               1. </w:t>
      </w:r>
      <w:r>
        <w:rPr>
          <w:sz w:val="26"/>
          <w:szCs w:val="26"/>
        </w:rPr>
        <w:t>Проблемы, препятствующие активному привлечению инвестиций</w:t>
      </w:r>
    </w:p>
    <w:p w:rsidR="00A72770" w:rsidRDefault="00A72770">
      <w:pPr>
        <w:rPr>
          <w:sz w:val="30"/>
          <w:szCs w:val="30"/>
        </w:rPr>
      </w:pPr>
    </w:p>
    <w:p w:rsidR="00A72770" w:rsidRDefault="00A72770">
      <w:pPr>
        <w:pStyle w:val="a3"/>
        <w:spacing w:line="240" w:lineRule="auto"/>
      </w:pPr>
      <w:r>
        <w:tab/>
        <w:t>Стремление России интегрироваться в мировое хозяйство приводит к возмож-ности относительно свободного перемещения иностранного капитала. В сегодняшней ситуации проблема его привлечения в нашу страну стоит весьма остро. Ряд отраслей отечественной промышленности испытывают инвестиционный голод, поэтому при-ток капиталов как российских, так и из-за рубежа может дать импульс для выхода из кризисного состояния, стимулировать деловую активность на внутреннем рынке, по-высить конкурентоспособность российских товаров на мировом рынке.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предприниматели проявляют немалый интерес к российской эко-номике, т.к. Россия имеет богатые месторождения природного сырья, сравнительно дешевые энергетические ресурсы, квалифицированные трудовые ресурсы при относи-тельно низкой стоимости рабочей силы, очень емкий внутренний рынок.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то же время желаемых масштабов иностранные инвестиции в нашей стране пока не приобрели.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числе факторов, в первую очередь препятствующих иностранным инвестици-ям в экономику России, называются следующие: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несовершенство действующей системы налогообложения;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проблемы таможенного регулирования;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криминогенная ситуация;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проблемы доступа к источникам финансирования, трудности с получением кредита;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нехватка в некоторых регионах квалифицированных трудовых ресурсов;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транспортные проблемы;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проблемы свободы передвижения и консульского обслуживания.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Как видим, на первом месте – несовершенство налогового законодательства, на втором – недостатки таможенного законодательства, т.е. все, связанное непосредст-венно с налогами, сборами, пошлинами. Если вдуматься в то, что же именно отпуги-вает иностранных инвесторов, привыкших платить достаточно высокие налоги в сво-их странах, то нетрудно убедиться – не величина налогообложения. Нестабильность налоговой системы, неясность и противоречивость некоторых положений в сочетании с весьма жесткими финансовыми санкциями за малейшее нарушение налогового зако-нодательства – вот что заставляет проявлять осторожность.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Еще одна серьезная проблема в области налогов – риск двойного налогообло-жения. В случае ведения торговли правительства обеих торгующих сторон могут по-желать взимать налог с доходов от этой торговли. Потенциальное двойное налогооб-ложение возникает потому, что одна страна претендует на право налогообложения на основании факта проживания (или гражданства) налогоплательщика, а другая – на ос-новании места получения дохода. Двойное налогообложение может также возникать, когда обе страны утверждают, что налогоплательщик является их резидентом, либо когда каждая их двух стран утверждает, что доход получен именно в ней.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Автор книги ''Международное налогообложение'' Р.Л.Дернберг предлагает кон-цепцию беспристрастного международного налогообложения, содержащую три ос-новных правила: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1. Беспристрастность в отношении экспорта капитала. Налоговая система соот-ветствует этому правилу, если на выбор налогоплательщика между инвестированием у себя в стране или за рубежом не влияет вопрос о налогообложении. Тогда корпора-ция будет принимать решения об инвестировании на основании деловых, а не налого-вых факторов. При идеальной конкуренции беспристрастность в отношении экспорта капитала приводит к эффективному распределению и использованию капитала.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2. Беспристрастность в отношении импорта капитала. Такое правило можно считать выполненным, если все действующие на рынке корпорации облагаются нало-гом по одной ставке.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3. Национальная беспристрастность. В соответствии с этим правилом общая прибыль с капитала, распределяемая между налогоплательщиком и бюджетом, долж-на быть одинаковой независимо от того, где инвестирован капитал – в своей стране или за границей.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Российская Федерация заключила ряд межправительственных соглашений об устранении двойного налогообложения. Она признала также и выполняет все подоб-ные договоры, заключенные в свое время Советским Союзом и РСФСР с иностранны-ми государствами. Межправительственные соглашения в области взимания налогов имеют приоритет перед налоговым законодательством РФ. При отсутствии межпра-вительственных соглашений иностранные фирмы и компании облагаются по законам РФ. Налогообложению подлежит только та часть прибыли иностранного юридическо-го лица, которая получена в связи с его предпринимательской деятельностью на тер-ритории России. 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2. Меры по совершенствованию налогового регулирования деятельности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иностранных компаний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За последнее время приняты меры по совершенствованию налогового регули-рования деятельности иностранных компаний. Выпущены законодательные и норма-тивные акты, которые регламентируют целый ряд вопросов, связанных с особеннос-тями деятельности иностранных юридических лиц. В первую очередь это Инструкция ГНС РФ от 16 июня 1995 года ''О налогообложении прибыли и доходов иностранных юридических лиц'' (зарегистрирована Минюстом России 5 июля 1995 г. № 897) и при-нятое в развитие новой Инструкции о порядке учета налогоплательщиков Положение ''Об особенностях учета в налоговых органах организаций, образованных в соответст-вии с законодательством иностранных государств, и международных организаций'' от 20 сентября того же года, утвержденное ГНС РФ. Оба эти документа разработаны с учетом более чем четырехлетнего опыта практической работы по налогообложению иностранных юридических лиц в условиях новой налоговой системы, изучения меж-дународного опыта, предложений налоговых органов и аудиторских фирм.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Основное значение положения состоит в том, что оно, наконец, установило единообразный порядок учета иностранных и международных организаций во всех налоговых инспекциях на основе единых требований и форм учета. При этом сами требования носят более упрощенный порядок, чем применяемый в настоящее время. Кроме того, введена специальная оговорка, защищающая права налогоплательщиков и запрещающая требование налоговыми органами для постановки на учет дополни-тельных документов, не предусмотренных Положением.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Один из ключевых пунктов Положения – дифференциальный подход к поста-новке на учет в зависимости от активного или пассивного участия в деятельности на территории Российской Федерации и степени вовлеченности иностранных юридичес-ких лиц в предпринимательскую деятельность России.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зависимости от указанных факторов, объем требований к иностранному юри-дическому лицу при постановке на учет колеблется от максимальных, при осущест-влении деятельности, попадающей под критерии постоянного представительства, до минимальных, для лиц, представляющих интересы иностранных юридических лиц. В отдельных случаях учет в налоговых органах может быть осуществлен на основе лишь уведомлений.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Другой важный момент, связанный со степенью и характером участия ино-странных юридических лиц в деятельности в России: учет иностранных организаций в налоговых органах может осуществляться как с присвоением идентификационного номера налогоплательщика (ИНН0, так и без него.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Еще одно новшество – предоставленная иностранным юридическим лицам возможность постановки на учет в целях расчетов по НДС. В целях неудержания НДС у источника выплаты или получения возмещения по НДС они могут обратиться в соответствующую налоговую инспекцию для получения ИНН.</w:t>
      </w:r>
      <w:r>
        <w:rPr>
          <w:sz w:val="26"/>
          <w:szCs w:val="26"/>
        </w:rPr>
        <w:tab/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Положении впервые регламентирован порядок учета дипломатических и международных организаций, постоянно действующих на территории Российской Федерации. Учет иностранных юридических лиц может быть осуществлен в связи с открытием ими счетов в уполномоченных банках на территории РФ.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Положение определило, что учет иностранных юридических лиц, не имеющих отделений в России, открывающих рублевые или валютные счета в уполномоченных банках на территории России, производится на основании уведомлений, направляе-мых иностранным юридическим лицом либо уполномоченным им по доверенности банком в налоговую инспекцию, в которой состоит на учете соответствующий упол-номоченный банк. Уведомление должно быть направлено до открытия счета.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Этот пункт Положения впервые дает возможность иностранным юридическим лицам открывать счета в банках без регистрации представительств, создание которых было чисто формальным. Это вело, с одной стороны, к усложнению процедуры от-крытия счета, а с другой стороны, - к появлению фиктивных представительств, кото-рые затем исчезали, создавая проблемы для налоговых инспекций.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Введение нового Положения позволило создать единый реестр иностранных юридических лиц, имеющих отделения на территории Российской Федерации, так как присвоение порядкового номера налогоплательщика, используемого в структуре ИНН, будет осуществлять непосредственно ГНС России.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Положительным моментом, как подтверждает практика, является введение на-логового учета в отделениях инофирм. Как известно, на иностранные юридические лица не распространяется обязанность вести бухгалтерский учет в соответствии с действующими нормативными актами Минфина России. Однако, как показала прак-тика налогообложения, для обеспечения своевременности и правильности уплаты налогов, одинакового понимания налогоплательщиками и налоговыми органами ме-тодов расчета налоговых обязательств и единообразного их применения налоговыми органами требуется определенная формализация процесса учета хозяйственных опе-раций в отделениях иностранных юридических лиц и расчета налоговых обяза-тельств.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связи с этим в Инструкцию введен раздел о налоговом учете в отделениях иностранных юридических лиц. Были разработаны соответствующие формы учета доходов и расходов, формы различных ведомостей. Их заполнение не вызывает труд-ностей. Значительно упростился процесс документальной проверки представительств, сократилось время ее проведения.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Впервые в Инструкции введено положение о необходимости представления уведомления об источниках доходов в налоговые органы иностранным юридическим лицом, имеющим источник доходов на территории РФ, или его уполномоченным представителем.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фирмы, осуществляющие предпринимательскую деятельность на территории РФ через постоянные представительства, являются плательщиками нало-га на прибыль. Под постоянным представительством понимаются филиал, отделение, бюро, контора, агентство, любое другое постоянное место регулярного осуществле-ния деятельности по извлечению дохода на территории России или за границей, а так-же любые организации и физические лица, уполномоченные иностранными юриди-ческими лицами осуществлять представительские функции в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Эта деятельность может быть связана с разработкой природных ресурсов, про-ведением работ по строительству, установке, монтажу, сборке, наладке, обслужива-нию оборудования, продажей продукции с расположенных на территории РФ и при-надлежащих иностранному юридическому лицу или арендуемых им складов, оказани-ем услуг и осуществлением иных видов деятельности.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 иностранных юридических лиц не распространяется обязанность вести бух-галтерский учет в соответствии с действующими нормативными актами Министерст-ва финансов РФ. Налоговые обязательства иностранных юридических лиц определя-ются не на основе данных бухгалтерского баланса и ведомостей бухгалтерских сче-тов, а расчетным способом на основе счетов-фактур (инвойсов), расписок, а также сведений из бухгалтерского учета головного офиса иностранной компании.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Вместе с тем, как показала практика налогообложения, для обеспечения свое-временности и правильности уплаты налогов, одинакового понимания налогоплатель-щиками и налоговыми органами методов расчета налоговых обязательств и единооб-разного их применения налоговыми органами требуется определенная формализация процесса учета хозяйственных операций в отделениях иностранных юридических лиц и расчета налоговых обязательств.  В инструкцию Росналогслужбы от 16 июня 1995 г. №34 ''О налогообложении прибыли и доходов иностранных юридических лиц'' введен раздел о налоговом учете в отделениях иностранных юридических лиц.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Отделения иностранных юридических лиц на территории РФ, осуществляющие деятельность через постоянные представительства, ведут регистры бухгалтерского учета, такие, как журналы, главные книги и другие, как самостоятельные хозяйствую-щие субъекты.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Прибыль в постоянных представительствах иностранных юридических лиц оп-ределяется либо с использованием метода признания выручки от реализации продук-ции по отгрузке товаров (выполнению работ, услуг), либо по мере оплаты отгружен-ных товаров (выполненных работ, оказанных услуг).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Бухгалтерские регистры могут вестись и храниться за границей при условии, что они представляются по первому требованию налоговых органов в приемлемые для них сроки. Эти сроки должны определяться исходя из того, что такие бухгалтер-ские документы в обязательном порядке имеются в головном офисе, не требуют до-полнительной доработки и время необходимо только для получения запроса от отде-ления и доставки документов из-за границы. Если эти условия не выполняются, нало-говые органы могут потребовать от постоянного представительства вести учет и хра-нить документы в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случае если иностранное юридическое лицо осуществляет деятельность в нескольких местах на территории РФ, каждое из которых образует постоянное пред-ставительство, бухгалтерские регистры могут вестись в каком-либо одном месте, но раздельно по каждому месту осуществления деятельности. Они должны предостав-ляться по первому требованию налоговых органов, на территории которых осущест-вляется деятельность в Российской Федерации, и в приемлемые для них сроки.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ведения налогового учета иностранными юридическими лицами, осущест-вляющими деятельность в России через постоянные представительства, были разра-ботаны специальные формы учета доходов и расходов и формы ведомостей.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Учет доходов и расходов должен включать все полученные доходы и все поне-сенные затраты по операциям постоянного представительства в течение учетного пе-риода, за которое оно несет ответственность как на территории России, так и за гра-ницей.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Эти операции включают все товары, наличные средства, другие активы и услуги, пре-доставляемые головным офисом иностранного юридического лица или другими его обособленными подразделениями постоянному представительству в России, а также товары, наличные средства, другие активы и услуги, предоставляемые этим постоян-ным представительством головному офису или другим обособленным подразделе-ниям иностранного юридического лица.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Имущество, передаваемое головным офисом постоянному представительству, учитывается последним по стоимости этого имущества у головного офиса на момент передачи с учетом фактически произведенных затрат по его транспортировке, уста-новке, таможенных платежей и других затрат.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случае необходимости (при проведении проверок, подготовке разъяснений по письмам налогоплательщиков и т.п.) налоговые органы могут запросить описание учетной системы, принятой иностранным юридическим лицом. Сведения об учетной системе включают информацию о порядке начисления амортизации основных средств и нематериальных активов, оценке готовой продукции, производственных запасов и  незавершенного производства, принятом бухгалтерском стандарте, плане счетов и их кодах и др.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Ведение счетов должно осуществляться таким способом, чтобы можно было указать, каким образом были заполнены декларации, ведомости, формы, предусмот-ренные Инструкцией, т.е. должна быть ясная связь между записями в счетах и формах учета.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проведении контрольной работы (камеральных и документальных провер-ках) налоговые органы также могут запросить сведения о долгосрочных контрактах, лизинговых и арендных сделках, сделках по расширению имущественных прав, га-рантийных обязательствах по продукции и услугам и другие сведения.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Все записи в бухгалтерских регистрах отделений иностранных юридических лиц должны подтверждаться документами, в частности контрактами, заключенными при участии отделения, выписками из банковских счетов, счетами-фактурами и т.п. Наличные выплаты, как в рублях, так и в иностранной валюте также должны подтвер-ждаться соответствующими первичными документами (ведомости на выдачу заработ-ной платы, расходные ордера, расписки и т.п.).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Формами учета предусмотрена детализация прямых затрат по статьям. При этом особое внимание уделяется правильности учета заработной платы и других вып-лат персоналу отделения и другим привлекаемым российским и иностранным граж-данам.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постатейном распределении непрямых затрат необходимо иметь заполнен-ный список, показывающий, какие затраты вовлечены в постатейное распределение, и перечень соответствующих статей. Числовые значения непрямых затрат, включенных в постатейное распределение, должны быть подтверждены независимым аудитором, если их невозможно удостоверить иным способом, приемлемым для налоговых орга-нов. Объяснения используемых методов распределения, включая особенности того, как распределяются издержки и доходы между головным офисом и соответствующи-ми отделениями, должны прилагаться к отчету.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Издержки, понесенные головным офисом и распределенные постоянному пред-ставительству, дебетуются у представительства на счету издержек с одновременным кредитованием счета головного офиса.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определения налоговых обязательств отделения иностранного юридичес-кого лица в соответствии с внутренним законодательством России и международны-ми договорами, в том числе для установления обоснованности применения тех или иных налоговых льгот, доходы должны быть специфицированы  по каждому виду деятельности отделения. Должна иметься возможность проверить все фактически по-лученные доходы и понесенные расходы, касающиеся каждого вида деятельности.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Вся учетная документация, включая первичные документы с приложениями, контракты, корреспонденции, бухгалтерские записи и любые другие документы, от-носящиеся к налоговому учету отделения, должны храниться в течение 6 лет, т.е. в те-чение срока, установленного статьей 24 Закона России об основах налоговой системы для бесспорного взыскания недоимок по налогам с юридических лиц.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иностранное юридическое лицо не выполняет требований, установленных Инструкцией, налоговые органы могут обязать его вести учет в полном объеме на территории России. Указанное также применяется к иностранным юридическим ли-цам – резидентам тех стран, из которых невозможно получить данные учета для про-верки. В таких случаях данные учета должны храниться в России и быть подготовле-ны по запросу.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отделений иностранных юридических лиц, деятельность которых не при-водит к образованию постоянного представительства, либо в случае когда налоговый статус (постоянное представительство или нет) отделения иностранного юридическо-го лица не может быть определен заранее, но иностранное юридическое лицо предпо-лагает, что его деятельность в России не будет образовывать постоянного представи-тельства, оно может обратиться в соответствующий налоговый орган для согласова-ния ведения налогового учета по упрощенной форме.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Упрощенная форма предполагает ведение только ведомостей учета прихода и расхода денежных средств.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3. Налогообложение иностранных юридических лиц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3.1. Налоговые соглашения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обложении налогом на прибыль иностранных юридических лиц важное значение имеет налоговая юрисдикция того или иного государства. Этот вопрос ре-шается на основе двух критериев: резидентства и территориальности. Первый крите-рий предусматривает, что доходы резидентов данной страны (полученные как на тер-ритории страны, так и за ее пределами) подлежат обложению в этой стране. Напри- мер, в Великобритании корпорационным налогом облагается прибыль нерезидентов в случае, если они осуществляют торговлю в Великобритании через свои филиалы или отделения.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До настоящего времени между различными странами существовали значитель-ные различия в определении резидентства, что приводило к случаям двойного рези-дентства в отношении некоторых компаний. Решение этой проблемы производится путем заключения соглашений между странами. В них окончательным критерием обычно является место расположения центра фактического руководства. Этот крите-рий получил широкое распространение и включен в качестве рекомендаций в типо-вые проекты налоговых соглашений.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Критерий территориальности основывается на национальной принадлежности источника дохода. Он устанавливает, что налогообложению в данной стране подле-жат только доходы, извлеченные на ее территории. При этом любые доходы, получае-мые за рубежом, освобождаются от налогов в этой стране.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связи с тем, что нет единообразия в применении этих критериев во всех стра-нах, возникает, упомянутая выше, проблема двойного налогообложения. Решение этой проблемы затруднено, так как выбор критерия связан с национальными интере-сами различных стран. Так, для стран, компании которых получают значительные прибыли от их зарубежной деятельности и от капиталов, помещенных за рубежом, желательно разграничение налоговой юрисдикции на основе критерия резидентства, а для стран, в экономике которых значительное место занимает иностранный капитал, желателен критерий территориальности.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Отдельные страны применяют различные сочетания этих критериев. США, Ве-ликобритания берут за основу критерий резидентства, который в зависимости от кон-кретных интересов страны дополняется территориальным критерием. Страны Латин-ской Америки устанавливают налоговую юрисдикцию на основе преимущественного применения критерия территориальности, который имеет важное значение в налого-вой практике Франции, Швейцарии и других стран.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Соглашения по вопросам налогообложения направлены на урегулирование на-логовых взаимоотношений между странами путем закрепления за каждым государст-вом права налогообложения определенных видов доходов, получаемых юридически-ми и физическими лицами из одной страны в другой стране, а также имущества этих лиц, расположенного на территории другого государства.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 практике встречаются две группы налоговых соглашений: специальные (ог-раниченные) которые регулируют ограниченный круг вопросов (международные пе-ревозки, таможенные пошлины, льготный налоговый режим и т.д.), и общие, наибо-лее распространенные.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заключении налоговых соглашений государства решают следующие ос-новные задачи: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определение схемы устранения двойного налогообложения. За каждым из договаривающихся государств закрепляется исключительное право взимать налоги с того или иного дохода;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установление механизма двойного налогообложения, когда право налогообло-жения сохраняется за обоими государствами;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защита плательщика от дискриминационного обложения в других государст-вах;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взаимный обмен информацией с целью выполнения конвенции и выявления уклоняющихся от налога.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этом рассматриваются четыре группы вопросов: сфера применения кон-венции; распределение налогов между государствами; устранение двойного налого-обложения; правила поведения. Определяются также перечень лиц и виды налогов, которые регулируются этим соглашением, а также понятийный аппарат (лицо, компа-ния, резидент, постоянное представительство и др.).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Как правило, двойное налогообложение устраняется либо методом освобожде-ния, либо предоставления налогового кредита.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Во всех соглашениях, заключенных бывшим СССР, предусматривается приме-няемое на взаимной основе и при выполнении соответствующих условий полное либо частичное освобождение отдельных видов доходов и имущества от налогообложения в одном из государств, а также процедура устранения двойного налогообложения до-ходов и имущества.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 помощью таких соглашений достигается разграничение налоговой юрисдик-ции в отношении доходов юридических и физических лиц между налоговыми властя-ми стран - партнеров, устраняется возможность неправомерного применения в одно-стороннем порядке национального режима налогообложения.</w:t>
      </w:r>
      <w:r>
        <w:rPr>
          <w:sz w:val="26"/>
          <w:szCs w:val="26"/>
        </w:rPr>
        <w:tab/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период с 1976 по 1991 г. бывшим СССР было заключено 22 соглашения по налоговым вопросам с различными странами, которые признаны действующими но-той МИД Российской Федерации от 13 января 1992 г. о выполнении обязательств по международным договорам, 9 соглашений заключено Российской Федерацией.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Соглашения построены на принципах двусторонних договоренностей между странами – партнерами, за исключением соглашений между странами – бывшими членами СЭВ, которые заключены на многосторонней основе.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наличии общего или специальных налоговых соглашений для каждой из сторон и при выполнении установленных этими актами условий предусматривается льготный режим налогообложения определенных видов доходов и имущества.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Льготы по налогообложению юридических и физических лиц различаются в за-висимости от конкретных соглашений. Отсутствие соглашения не дает права на полу-чение каких-либо специальных налоговых льгот в стране – источнике дохода. В этом случае применяется национальное налоговое законодательство страны, где получен доход.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Действующие соглашения по вопросам налогообложения позволяют опреде-лить налоговый статус иностранных или российских юридических и физических лиц, осуществляющих разрешенную в установленном порядке деятельность.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общих налоговых соглашениях, как правило, предусматривается, что положения данного соглашения не затрагивают других действующих соглашений, в которых каким-либо образом регулируются вопросы налогообложения и которые были заключены ранее или могут быть заключены между договаривающимися государствами. Однако в том случае, если общее налоговое соглашение предусматривает более благоприятный налоговый режим, применяется это соглаше-ние.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Положения соглашений по вопросам налогообложения не затрагивают налого-вых привилегий сотрудников дипломатических и консульских представительств (включая приравненные к ним другие организации и учреждения), установленных об-щими нормами международного права или на основании международных соглаше-ний.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Все доходы, получаемые иностранными юридическими лицами от источников на территории Российской Федерации, подразделяются на доходы, получаемые от деятельности через постоянное представительство, и доходы, не связанные с деятель-ностью через постоянное представительство.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3.2. Налогообложение прибыли и доходов иностранных юридических лиц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Плательщиками налога на прибыль являются иностранные юридические лица, которые осуществляют предпринимательскую деятельность на территории Россий-ской Федерации через постоянные представительства.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лица, получающие доход, не связанный с их дея-тельностью через постоянные представительства, являются плательщиками налога с дохода, получаемого с источника в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Под постоянным представительством иностранного юридического лица в Рос-сийской Федерации для целей налогообложения, как было определено выше, пони-маются филиал, отделение, бюро, контора, агентство, любое другое постоянное место регулярного осуществления деятельности по извлечению дохода на территории Рос-сии или за границей, а также любые организации и физические лица, уполномочен-ные иностранными юридическими лицами осуществлять представительские функции в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Эта деятельность может быть связана с разработкой природных ресурсов, про-ведением предусмотренных контрактами работ по строительству, установке, монта-жу, сборке, наладке, обслуживанию оборудования, эксплуатацией игровых автома-тов, продажей продукции с расположенных на территории Российской Федерации и принадлежащих иностранному юридическому лицу или арендуемых им складов, ока-занием услуг и осуществлением иных видов деятельности по извлечению дохода.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Иностранное юридическое лицо может также рассматриваться как имеющее постоянное представительство в случае, если оно осуществляет предприниматель-скую деятельность в РФ через российскую организацию или физическое лицо, кото-рые на основании договорных отношений с иностранным юридическим лицом пред-ставляют его интересы в Российской Федерации, действуют от его имени и имеют полномочия, в частности, на заключение контрактов от имени данного иностранного юридического лица или имеющие полномочия обговаривать существенные условия контрактов.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Существенными могут быть признаны условия контрактов, определяющие це-ну поставляемых товаров (работ, услуг), валюту цены и валюту платежа, сроки пос-тавки и т.п.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российская организация или физическое лицо осуществляют эту деятель-ность в рамках своей основной (обычной) деятельности, то такая организация или фи-зическое лицо не рассматриваются как постоянное представительство иностранного юридического лица, а являются, в терминах международных соглашений об избежа-нии двойного налогообложения доходов и имущества, агентами с независимым ста-тусом. При этом оно является как юридически, так и экономически независимым от этого лица. К таким независимым агентам относятся внешнеторговые организации, осуществляющие закупки товаров у иностранных фирм поставщиков от своего имени или от имени российских предприятий-заказчиков товаров, брокеры, дилеры, другие специализированные посредники.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Термин ''постоянное представительство'' применяется только для определения налогового статуса иностранного юридического лица или его агента и не имеет орга-низационно - правового значения. Постоянным представительством может быть фи-лиал иностранного юридического лица, представительство, любое иное место осу-ществления деятельности в зависимости от того, попадает ли такая деятельность по законам РФ и международным соглашениям об избежании двойного налогообложе-ния под определение постоянного представительства.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Установление наличия или отсутствия постоянного представительства относит-ся к одним из наиболее важных и в то же время наиболее сложных вопросов между-народного налогообложения как с теоретической точки зрения, так и с точки зрения реализации процедуры установления постоянного представительства налоговыми ор-ганами. В этой области остается еще ряд вопросов, требующих в первую очередь тео-ретической доработки (уточнения критерия постоянства осуществления деятельности, определения деятельности, носящий подготовительный характер, степени зависимос-ти лица от представляемого им предприятия и т.п.).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Каждая строительная площадка с момента начала работ рассматривается как об-разующая отдельное постоянное представительство. Расчет налоговых обязательств осуществляется по каждой отдельной строительной площадке.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определения продолжительности существования строительного объекта в налоговыъх целях следует исходить из того, что строительная площадка существует с момента подписания акта о передаче площадки подрядчику. Моментом окончания су-ществования стройплощадки является дата подписания акта о сдаче объекта в экс-плуатацию. Строительный участок не прекращает существования, если работы на нем временно приостановлены.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иностранное юридическое лицо, действуя через постоянное представи-тельство и являясь генеральным подрядчиком, поручает выполнение части подряд-ных работ другим лицам (субподрядчикам), то период времени, затраченный субпод-рядчиками на выполнение работ, считается временем, затраченным самим генераль-ным подрядчиком. При этом если субподрядчики – иностранные юридические лица, их деятельность со дня начала работы на данной строительной площадке также рас-сматривается как постоянное представительство самого субподрядчика.</w:t>
      </w: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</w:rPr>
        <w:t>3.3. Постановка иностранных юридических лиц на учет в налоговых органах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лица, осуществляющие деятельность в Российской Федерации, обязаны встать на учет в налоговом органе независимо от того, будет ли в дальнейшем их деятельность признана налоговым органом подлежащей налогообло-жению или нет в соответствии с законодательством Российской Федерации и между-народными соглашениями.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 подлежат постановке на учет в налоговом ор-гане по месту осуществления деятельности в России. Если иностранное юридическое лицо осуществляет деятельность в нескольких местах на территории Российской Фе-дерации, то оно обязано встать на учет в каждой соответствующей государственной налоговой инспекции.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При постановке на налоговый учет в Российской Федерации иностранные юри-дические лица обязаны руководствоваться Положением ''Об особенностях учета в на-логовых органах организаций, образованных в соответствии с законодательством иностранных государств, и международных организаций'', утвержденным ГНС РФ от 20.09.96 г. № ВА-4-06/57н и вступившем в действие с 15 ноября 1996 г. Данное поло-жение разработано в соответствии с Инструкцией ГНС РФ ''О порядке учета налого-плательщиков'', утвержденной приказом ГНС РФ от 13.06.96 г. № ВА-3-12\45 и в свя-зи с этим во всех случаях, особо не оговоренных в этом Положении, применяются нормы вышеуказанной Инструкции.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Необходимо отметить, что выпущенное ГНС РФ Положение является норма-тивным документом, который впервые на федеральном уровне подробно регламенти-рует вопросы, связанные с налоговым учетом иностранных юридических лиц. Нало-говый учет их осуществляется на основании дифференцированного подхода в зависи-мости от степени вовлеченности в предпринимательскую деятельность на территории России.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Иностранное юридическое лицо может вести в Российской Федерации через свое отделение деятельность, иметь активные доходы, т.е. непосредственно выпол-нять работы, оказывать услуги. Кроме того, иностранное юридическое лицо может получать на территории Российской Федерации пассивные доходы, не связанные с деятельностью, через отделение. К пассивным доходам, в частности, относятся про-центы, дивиденды, доходы от отчуждения имущества, лицензионные платежи и др.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зависимости от активного или пассивного участия в деятельности на терри-тории Российской Федерации объем требований к иностранному юридическому лицу при его регистрации в налоговых органах колеблется от максимальных (при осущест-влении деятельности на территории РФ через отделение) до самых минимальных (когда налоговый учет может быть осуществлен на основе всего лишь уведомления).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Перечень документов, необходимых для представления в налоговые органы для постановки на учет иностранного юридического лица, приводится в табл.1. Ука-занные документы подаются в налоговые органы иностранным юридическим лицом или его уполномоченным представителем.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При осуществлении учет идентификационный номер налогоплательщика (ИНН) иностранному юридическому лицу присваивается в следующих случаях: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• при наличии у него одного или нескольких отделений, осуществляющих деятельность в России в течение одного месяца;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при наличии у него имущества в России, не связанного с его деятельностью через отделение;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в целях проведения расчетов по налогу на добавленную стоимость.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Таблица 1</w:t>
      </w:r>
    </w:p>
    <w:p w:rsidR="00A72770" w:rsidRDefault="00A72770">
      <w:pPr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815"/>
      </w:tblGrid>
      <w:tr w:rsidR="00A72770">
        <w:trPr>
          <w:cantSplit/>
        </w:trPr>
        <w:tc>
          <w:tcPr>
            <w:tcW w:w="2802" w:type="dxa"/>
            <w:vMerge w:val="restart"/>
            <w:tcBorders>
              <w:lef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ино-странного юр. лица</w:t>
            </w:r>
          </w:p>
        </w:tc>
        <w:tc>
          <w:tcPr>
            <w:tcW w:w="7052" w:type="dxa"/>
            <w:gridSpan w:val="14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для постановки на налоговый учет</w:t>
            </w:r>
          </w:p>
        </w:tc>
      </w:tr>
      <w:tr w:rsidR="00A72770">
        <w:trPr>
          <w:cantSplit/>
        </w:trPr>
        <w:tc>
          <w:tcPr>
            <w:tcW w:w="2802" w:type="dxa"/>
            <w:vMerge/>
            <w:tcBorders>
              <w:lef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Иностранное юр. лицо осуществляет или на-меривается осущест-влять деятельность в РФ через отделение в течение более чем од-ного месяца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иностран-ного юр. лица стоит на учете в налоговом ор-гане и имеет на его территории другое место деятельности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bottom w:val="nil"/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</w:t>
      </w:r>
      <w:r>
        <w:rPr>
          <w:sz w:val="26"/>
          <w:szCs w:val="26"/>
        </w:rPr>
        <w:tab/>
        <w:t>Продолжение табл.1</w:t>
      </w:r>
    </w:p>
    <w:p w:rsidR="00A72770" w:rsidRDefault="00A72770">
      <w:pPr>
        <w:rPr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25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567"/>
        <w:gridCol w:w="567"/>
        <w:gridCol w:w="567"/>
        <w:gridCol w:w="815"/>
      </w:tblGrid>
      <w:tr w:rsidR="00A72770">
        <w:trPr>
          <w:cantSplit/>
        </w:trPr>
        <w:tc>
          <w:tcPr>
            <w:tcW w:w="2802" w:type="dxa"/>
            <w:vMerge w:val="restart"/>
            <w:tcBorders>
              <w:lef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Деятельность ино-странного юр. лица</w:t>
            </w:r>
          </w:p>
        </w:tc>
        <w:tc>
          <w:tcPr>
            <w:tcW w:w="7052" w:type="dxa"/>
            <w:gridSpan w:val="14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Документы для постановки на налоговый учет</w:t>
            </w:r>
          </w:p>
        </w:tc>
      </w:tr>
      <w:tr w:rsidR="00A72770">
        <w:trPr>
          <w:cantSplit/>
        </w:trPr>
        <w:tc>
          <w:tcPr>
            <w:tcW w:w="2802" w:type="dxa"/>
            <w:vMerge/>
            <w:tcBorders>
              <w:lef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ИНН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иностран-ного юр. лица стоит на учете в налоговом ор-гане и открывает на его территории новое отделение, обособлен-ное и функционально не связанное с ранее открытым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  <w:vertAlign w:val="subscript"/>
              </w:rPr>
            </w:pPr>
            <w:r>
              <w:rPr>
                <w:sz w:val="26"/>
                <w:szCs w:val="26"/>
                <w:vertAlign w:val="subscript"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bottom w:val="nil"/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Отделение иностран-ного юр. лица стоит на учете в налоговом ор-гане и открывает отде-ление на территории другого налогового органа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Иностранное юр. лицо осуществляет или на-меривается осущест-влять деятельность в РФ менее одного меся-ца в году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Интересы иностранно-го юр. лица на терри-тории РФ представля-ет какая-либо органи-зация или физ. лицо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Иностранное юр. лицо получает пассивные доходы из источников на территории РФ 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Иностранное юр. лицо имеет имущество на территории РФ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расчетов с ино-странными юр. лицами по НДС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15" w:type="dxa"/>
            <w:tcBorders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A72770">
        <w:trPr>
          <w:cantSplit/>
        </w:trPr>
        <w:tc>
          <w:tcPr>
            <w:tcW w:w="2802" w:type="dxa"/>
            <w:tcBorders>
              <w:left w:val="nil"/>
              <w:bottom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Иностранное юр. лицо открывает счет в упол-номоченном банке на территории РФ (кроме банков и иных кредит-но-финансовых учреж-дений)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5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6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bottom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815" w:type="dxa"/>
            <w:tcBorders>
              <w:bottom w:val="nil"/>
              <w:right w:val="nil"/>
            </w:tcBorders>
          </w:tcPr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</w:p>
          <w:p w:rsidR="00A72770" w:rsidRDefault="00A7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Примечания: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1. Форма 2001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 '' Заявление о постановке на учет и присвоение иден-тификационного номера налогоплательщика''.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2. Форма 2101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 ''Карта постановки на учет''.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3. Легализованные выписка из торгового реестра или сертификат об инкорпо-рации или другой документ аналогичного характера, содержащий информацию об органе, зарегистрировавшем иностранную организацию, о регистрационном номере, дате и месте регистрации, с нотариально заверенным переводом на русский язык. Вместо подлинников указанных документов могут быть представлены нотариально заверенные копии. Для организаций, создание которых не требует специальной регис-трации (внесение в торговый реестр и т.п.), - легализованные копии учредительных документов с нотариально заверенным переводом на русский язык.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4. Решение уполномоченного органа иностранного юридического лица о созда-нии отделения в РФ или копия контракта, на основании которого осуществляется дея-тельность в РФ, с нотариально заверенным переводом на русский язык.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5. Доверенность, выданная иностранным юридическим лицом на главу (управ-ляющего) отделения или его заместителя, с нотариально заверенным переводом на русский язык.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6. Уведомление произвольной формы, в котором должны содержаться сведения о ранее присвоенном ИНН, о виде деятельности, дате ее начала, адрес места осущест-вления деятельности, главе (управляющем) или его заместителе.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7. Копия первого экземпляра Карты по форме 2101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(1996), выданной нало-говой инспекцией, где иностранное юридическое лицо состоит на налоговом учете.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8. Форма 1011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 ''Уведомление об источниках доходов в РФ''.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9. Форма 2201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 ''Уведомление о постоянном представительстве''.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10. Копия соглашения (договора, контракта), определяющего взаимоотношения между российским и иностранным юридическим лицом (при наличии) или между фи-зическим лицом и иностранным юридическим лицом (при наличии).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11. Легализованные копии учредительных документов иностранного юриди-ческого лица с нотариально заверенным переводом на русский язык (в случае, если российская организация или физическое лицо являются одним из его учредителей или владельцем доли акционерного капитала).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12. Форма 3803</w:t>
      </w:r>
      <w:r>
        <w:rPr>
          <w:sz w:val="26"/>
          <w:szCs w:val="26"/>
          <w:lang w:val="en-US"/>
        </w:rPr>
        <w:t xml:space="preserve"> FE</w:t>
      </w:r>
      <w:r>
        <w:rPr>
          <w:sz w:val="26"/>
          <w:szCs w:val="26"/>
        </w:rPr>
        <w:t xml:space="preserve"> (1996) ''Уведомление иностранного юридического лица об  имуществе в РФ''.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13. Форма 2202 </w:t>
      </w:r>
      <w:r>
        <w:rPr>
          <w:sz w:val="26"/>
          <w:szCs w:val="26"/>
          <w:lang w:val="en-US"/>
        </w:rPr>
        <w:t>FE</w:t>
      </w:r>
      <w:r>
        <w:rPr>
          <w:sz w:val="26"/>
          <w:szCs w:val="26"/>
        </w:rPr>
        <w:t xml:space="preserve"> (1996) ''Уведомление''.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Инструкцией Госналогслужбы РФ от 16 июня 1995 г. №34 ''О налогообложении прибыли и доходов иностранных юридических лиц'' предусмотрена необходимость представления в налоговые органы иностранными юридическими лицами, имеющими источник доходов на территории Российской Федерации, уведомления об источниках доходов. Оно должно направляться в месячный срок с момента возникновения права на получение доходов или начала деятельности, не осуществляемой через отделения иностранного юридического лица.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Введение положения о представлении в налоговые органы сведений об источ-никах доходов связано не столько с усилением контроля за получением иностранны-ми юридическими лицами доходов из источников в Российской Федерации и их нало-гообложением, а в большей степени с необходимостью более четкого соблюдения по-ложений соглашений об избежании двойного налогообложения, включая создание в необходимых случаях действенного механизма предварительного освобождения от удержания налогов у источника выплаты.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</w:rPr>
        <w:tab/>
        <w:t>3.4. Порядок исчисления и уплаты в бюджет налога на прибыль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 на прибыль иностранного юридического лица исчисляется налоговым органом по месту осуществления деятельности в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Расчеты налоговых обязательств отделений иностранных юридических лиц, осуществляющих строительные работы в России, производятся по каждой отдельной строительной площадке. Консолидация отчетности и налоговых обязательств одного и того же иностранного юридического лица по нескольким объектам строительных работ, если деятельность на них будет приводить к возникновению постоянных пред-ставительств, не допускается.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 на прибыль постоянного представительства иностранного юридического лица, осуществляющего строительно-монтажные работы, уплачивается им ежегодно.</w:t>
      </w:r>
      <w:r>
        <w:rPr>
          <w:sz w:val="26"/>
          <w:szCs w:val="26"/>
        </w:rPr>
        <w:tab/>
        <w:t>При этом если прибыль по долгосрочным договорам на выполнение подрядных работ признается постоянным представительством по мере выполнения отдельных этапов работы, то уплаченная по итогам соответствующего отчетного года сумма на-лога является окончательной.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прибыль признается постоянным представительством по мере завершения и сдачи всей работы, то сумма уплаченных ежегодных платежей может корректиро-ваться. В случае если по итогам выполнения всей работы, фактически уплаченные суммы налога на прибыль превысят окончательные налоговые обязательства постоян-ного представительства, то суммы переплаченного налога могут возмещаться налого-выми органами в течение месяца после сдачи налоговой декларации или засчитывать-ся в счет предстоящих платежей в бюджет.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Налогообложению подлежит прибыль постоянного представительства, опреде-ляемая как разница между выручкой от реализацией продукции (работ, услуг) без НДС, специального налога и акцизов, других доходов, и затратами, непосредственно связанными с осуществлением деятельности иностранного юридического лица в Рос-сии, включая управленческие и общеадминистративные расходы, понесенные как на территории России, так и за границей.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состав расходов постоянного представительства, понесенных за границей, могут включаться только те расходы, понесенные за рубежом, которые связаны с осу-ществлением деятельности постоянного представительства в России, такие, как рас-ходы на заработную плату иностранных сотрудников, работающих в постоянном представительстве, командировочные расходы, расходы на подготовку российских сотрудников отделения, другие расходы, понесенные в России и оплаченные голов-ным офисом иностранного юридического лица.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расчета прибыли иностранного юридического лица в связи с деятельнос-тью в России основным методом является прямой метод, т.е. определение прибыли как разницы между выручкой от реализации продукции (работ, услуг) и затратами по ее производству.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случае, если не представляется возможным прямо определить прибыль, полу-ченным иностранным юридическим лицом в связи с деятельностью в России, предус-мотрен ряд последовательно применяемых условных методов, позволяющих расчет-ным путем определить налоговые обязательства на основании валового дохода из всех источников или на основании расходов, связанных с такой деятельностью.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условном методе расчета прибыли иностранных юридических лиц расчет производится исходя из нормы рентабельности 25%.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этом прибыль, подлежащая налогообложению, рассчитывается следую-щим образом: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при определении налогооблагаемой прибыли на основе полученных доходов применяется коэффициент 0,2;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при определении налогооблагаемой прибыли на основе понесенных расходов, связанных с деятельностью в Российской Федерации, применяется коэффициент 0,25.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включении в состав доходов постоянных представительств доходов, полу-ченных от источников в России и подвергшихся предварительному обложению нало-гом при их выплате, иностранным юридическим лицам предоставляется зачет на сум-му ранее уплаченных налогов.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лица, осуществляющие деятельность на территории России через постоянные представительства и другие обособленные подразделения, производят все расчеты по платежам в бюджеты различных уровней в рублях или в иностранной валюте только через счета, открываемые в уполномоченных банках на территории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Иностранное юридическое лицо, осуществляющее деятельность в Российской Федерации через постоянное представительство, не позднее 15 апреля года, следую-щего за отчетным, представляет в налоговый орган по месту регистрации постоян-ного представительства отчет о деятельности в Российской Федерации (в произволь-ной форме), а также декларацию о доходах. При прекращении деятельности до окон-чания календарного года указанные документы должны быть представлены в течение месяца со дня ее прекращения.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иностранное юридическое лицо имеет в Российской Федерации несколько зарегистрированных в целях налогообложения постоянных представительств, декла-рация о доходах подается в каждый из соответствующих налоговых органов, на тер-ритории которого  зарегистрировано постоянное представительство иностранного юридического лица.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Налоговый орган исчисляет сумму налога на прибыль иностранного юридичес-кого лица и выписывает платежное извещение в месячный срок с даты представления декларации о доходах.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 на прибыль исчисляется налоговым органом в рублях и уплачивается иностранным юридическим лицом в безналичном порядке в рублях или по желанию плательщика в иностранной валюте, покупаемой банками Российской Федерации и пересчитанной в рубли по курсу, котируемому Центральным банком Российской Фе-дерации, действующему на день уплаты налога, в сроки, указанные в платежном изве-щении. На сумму исчисленного налога плательщику выдается платежное извещение, корешок которого служит основанием для ведения книги лицевых счетов.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Срок уплаты налога в платежном извещении устанавливается в один месяц с даты его выписки.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Излишне внесенные суммы налога засчитываются в счет очередных платежей или возвращаются плательщику налоговым органом в десятидневный срок со дня получения его письменного заявления.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3.5. Налогообложение доходов иностранных юридических лиц, не связанных с 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деятельностью в РФ через постоянное представительство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лица, получающие доходы из источников, находя-щихся на территории  Российской Федерации, подлежат обложению налогом на дохо-ды у источника выплаты. К доходам из источников в Российской Федерации, в част-ности, относятся следующие доходы: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дивиденды, выплачиваемые российскими резидентами, а также доходы от распределенной в пользу иностранного участника прибыли созданного в Российской Федерации предприятия с иностранными инвестициями;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доходы, получаемые от долевого участия иностранных партнеров в деятель-ности товариществ;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дополнительные вознаграждения акционеров в денежной или иной форме;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прибыль, распределяемая чековыми инвестиционными фондами (специализи-рованными инвестиционными фондами приватизации);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процентный доход от: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долговых обязательств любого вида, включая суммы, начисляемые российскими банками по корреспондентским счетам иностранных банков, выплачи-ваемые иностранным юридическим лицам по привлеченным кредитам, депозитам, в том числе краткосрочным, от облигаций с правом на участие в прибылях компании и конвертируемых облигаций, по векселям и другим ценным бумагам;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премий, выплачиваемых при погашении ценных бумаг, ранее реализованных с дисконтом;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штрафов и пени за нарушение договорных и долговых обязательств: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доходы от использования авторских прав: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вознаграждение за использование авторских прав, включая право на издание произведений литературы, искусства и науки, право на использование кинематогра-фических произведений, в том числе художественных фильмов и видеокассет как для просмотра в кинотеатрах, так и на телевидении, а также для записей для радиовеща-ния;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доходы от использования изобретения, полезной модели, промышленного об-разца, торговой марки, товарного знака, знака обслуживания других аналогичных ак-тивов, а также деловой репутации (престижа), контактов, клиентов и кадров компа-нии;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доходы от сдачи в аренду имущества, находящегося на территории Россий-ской Федерации, в том числе лизинговых операций, рассчитываются исходя из всей суммы лизингового платежа за минусом суммы возмещения стоимости лизингового имущества (при финансовом лизинге), платы лизингодателю в качестве компенсации за использованные им кредитные ресурсы на приобретение имущества и суммы нало-га на лизинговое имущество;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• доходы от отчуждения имущества: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а) акций и других ценных бумаг;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б) долговых требований;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в) имущества отделения, которое иностранное юридическое лицо имеет на территории Российской Федерации;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г) морских, речных и воздушных судов, железнодорожного транспорта и авто-транспортных средств, используемых на международных перевозках, и движимого имущества, относящегося к таким перевозкам;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д) имущества, находящегося на территории Российской Федерации.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Такие доходы рассчитываются на основе превышения суммы реализации имущества над стоимостью его приобретения.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Премии по прямому страхованию и сострахованию, премии по перестрахова-нию, а также проценты на премии, формируемые российскими страховщиками по до-говорам, переданным в перестрахование иностранных перестраховщиков, и тантье-мы, уплачиваемые иностранному партнеру. При этом доходы от премий по прямому страхованию и сострахованию рассчитываются исходя из полной суммы премии, ум-ноженной на коэффициент 0,25. Доходы от премий по перестрахованию – с примене-нием коэффициента 0,125.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Другие доходы, получение которых не связано с деятельностью через постоян-ное представительство, в частности за работы и любого рода услуги, выполненные и предоставленные на территории Российской Федерации, в том числе за: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а) выдачу компанией лицензии на производство или продажу товаров или ус-луг под фирменным наименованием данной компании;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б) право на использование программ для ЭВМ и баз данных;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в) использование технической, организационной или коммерческой информа-ции (''ноу-хау''), в том числе секретной формулы или процесса;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г) управленческие услуги;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д) оказание содействия, необходимого для установки и эксплуатации оборудо-вания, линий механизмов и приспособлений;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е) оказание содействия, необходимого для эффективного использования иму-щества или пользования предоставленными правами;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ж) консультации, содействие и услуги, связанные с осуществлением управле-ния любым научным, промышленным или коммерческим проектом, планом, процес-сом или предприятием с иностранными инвестициями;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з) услуги и консультации, оказываемые иностранной компанией своим дочер-ним компаниям, в связи с осуществлением последними предпринимательской дея-тельности в Российской Федерации, а также за услуги и консультации, предоставляе-мые в пользу представительства головным офисом иностранного юридического лица;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и) услуги по эмиссии (включая доходы от проведения самостоятельной эмис-сии и доходы о услуг по ее обслуживанию) и размещению акций любого лица-рези-дента Российской Федерации;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к) перевозку всеми видами транспорта – фрахт;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л) реализацию на территории Российской Федерации ввозимых из-за границы товаров на условиях договоров торгового посредничества с российскими предприя-тиями. При этом доходом, источник которого находится на территории РФ, считается доход, выплачиваемый иностранному юридическому лицу в виде разницы или части разницы между назначенной им ценой реализации и более выгодной ценой, по кото-рой предприятие – посредник осуществило продажу поставленных для реализации то-варов.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отсутствии документов, свидетельствующих о ввозе иностранным юриди-ческим лицом товаров из-за границы для их реализации на территории Российской Федерации, доходом, источник которого находится на территории РФ, считается ва-ловая выручка, выплаченная иностранному юридическому лицу за реализованный то-вар.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Доходы иностранного юридического лица, полученные по внешнеторговым операциям, совершаемым исключительно от имени данного иностранного юридичес-кого лица, и связанные с экспортом в Российской Федерации товаров, налогообложе-нию у источника не подлежат.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Суммы доходов от фрахта, выплачиваемые иностранным юридическим лицом в связи с осуществлением морских, воздушных, железнодорожных, автомобильных и иных международных перевозок, облагаются налогом по ставке 6%, дивиденды и проценты – по ставке 15, остальные доходы – по ставке 20%.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 с доходов иностранных юридических лиц из источников в Российской Федерации удерживается лицом, выплачивающим доход иностранному юридическо-му лицу, в валюте, в которой производится выплата, с полной суммы дохода при каж-дом перечислении платежа и зачисляется в бюджет в порядке, установленном законо-дательством РФ.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этом не имеет значения, в каком виде будет произведена выплата дивиден-дов: в денежном, натуральном, каком-либо другом, в виде наличного или безналично-го платежа иностранному участнику, путем зачета требований или в какой-либо дру-гой форме. Под выплатой подразумевается также реинвестирование распределенного в пользу иностранного участника дохода на увеличение его доли в уставном капитале предприятия – резидента. Для целей налогообложения не имеет значения направление выплаты: распоряжение иностранного участника своими доходами в пользу третьих лиц, своих представительств в других странах и т.д.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В случае если доходы от долевого участия, в том числе дивиденды, выплачива-ются иностранным участникам предприятий с иностранными инвестициями и партне-рам товариществ акциями, облигациями, товарами либо  любым иным способом, за-числению в бюджет подлежит сумма налога в иностранной валюте или в рублях по курсу ЦБ РФ на дату совершения этой операции, рассчитанная исходя из величины распределенной в пользу этого иностранного участника части чистой прибыли (руб-левой) предприятия-резидента.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Лица, выплачивающие доход иностранным юридическим лицам ежекварталь-но, в сроки, установленные для представления квартальной бухгалтерской отчетнос-ти российскими предприятиями, представляют информацию о суммах выплаченных доходов и удержанных налогов в тот налоговый орган, в котором это российское лицо состоит на налоговом учете.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Для возврата налога в установленных случаях иностранное юридическое лицо, имеющее фактическое право на получение дохода, представляет в органы Государст-венной налоговой службы Российской Федерации заявление по установленной форме с официальным подтверждением факта постоянного местопребывания данного лица в стране, с которой имеются действующие межправительственные (межгосударствен-ные) соглашения об избежании двойного налогообложения, заключенные бывшим СССР и Российской Федерацией.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подаче заявления о возврате сумм удержанных налогов соответствующий налоговый орган в установленные сроки рассматривает заявление и осуществляет возврат излишне взысканных и уплаченных налогов. В заявление могут включаться как разовые доходы, так и доходы, полученные в течение какого-либо периода.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Заявления, поданные по истечении года со дня получения дохода, к рассмотре-нию не принимаются.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Если получаемые иностранным юридическим лицом доходы от источников в РФ имеют регулярный и однотипный характер и эти доходы в соответствии с между-народным соглашением об избежании двойного налогообложения не подлежат обло-жению налогом в Российской Федерации, то иностранное юридическое лицо, имею-щее фактическое право на получение таких доходов, может подать заявление в мест-ный налоговый орган о неудержании налога у источника.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Налоговый орган в двухнедельный срок рассматривает заявление и в случае соответствия указанных в нем сведений положениям конкретного соглашения об избежании двойного налогообложения дает разрешение на неудержание налога у источника выплаты.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Основные положения по налогу на доходы иностранных юридических лиц можно представить в виде таблицы: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  <w:r>
        <w:rPr>
          <w:sz w:val="26"/>
          <w:szCs w:val="26"/>
        </w:rPr>
        <w:tab/>
        <w:t xml:space="preserve">                                                                         Таблица 2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045"/>
      </w:tblGrid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Закон РФ от 27.12.91 №2116-1 (в редакции от 04.05.99). Инструкция ГНС РФ № 34 от 16.06.95 (в редакции от 31.12.97).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Плательщики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Иностранные юридические лица, осуществляющие предпринима-тельскую деятельность на территории РФ через постоянные предста-вительства и без представительства.</w:t>
            </w: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Российские юридические лица, выплачивающие доходы иностран-ным юридическим лицам.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Особенности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Иностранные организации уплачивают налог на прибыль по месту их постановки на учет в налоговом органе.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Налоговая база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иностранных юридических лиц.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Ставки нало-гов на доходы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6% от доходов по фрахту.</w:t>
            </w: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15% от дивидендов и процентов.</w:t>
            </w: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 по остальным доходам.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Источники уплаты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предприятия.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Льготы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Налог не взимается:</w:t>
            </w:r>
          </w:p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дивидендов и доходов от долевого участия иностранных юридичес-ких лиц, а также с перечисленной прибыли филиалов иностранных юридических лиц, созданных на территории РФ при исполнении сог-лашения о разделе продукции.</w:t>
            </w:r>
          </w:p>
        </w:tc>
      </w:tr>
      <w:tr w:rsidR="00A72770">
        <w:tc>
          <w:tcPr>
            <w:tcW w:w="1809" w:type="dxa"/>
            <w:tcBorders>
              <w:lef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Распределе-ние федераль-ный/ местный бюджеты </w:t>
            </w:r>
          </w:p>
        </w:tc>
        <w:tc>
          <w:tcPr>
            <w:tcW w:w="8045" w:type="dxa"/>
            <w:tcBorders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100% в Федеральный бюджет.</w:t>
            </w:r>
          </w:p>
        </w:tc>
      </w:tr>
      <w:tr w:rsidR="00A72770">
        <w:tc>
          <w:tcPr>
            <w:tcW w:w="1809" w:type="dxa"/>
            <w:tcBorders>
              <w:left w:val="nil"/>
              <w:bottom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Сроки уплаты</w:t>
            </w:r>
          </w:p>
        </w:tc>
        <w:tc>
          <w:tcPr>
            <w:tcW w:w="8045" w:type="dxa"/>
            <w:tcBorders>
              <w:bottom w:val="nil"/>
              <w:right w:val="nil"/>
            </w:tcBorders>
          </w:tcPr>
          <w:p w:rsidR="00A72770" w:rsidRDefault="00A7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Одновременно с каждой выплатой полученного дохода.</w:t>
            </w:r>
          </w:p>
        </w:tc>
      </w:tr>
    </w:tbl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pStyle w:val="21"/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tab/>
      </w:r>
      <w:r>
        <w:rPr>
          <w:b w:val="0"/>
          <w:bCs w:val="0"/>
          <w:sz w:val="26"/>
          <w:szCs w:val="26"/>
        </w:rPr>
        <w:t>4. Анализ</w:t>
      </w:r>
      <w:r>
        <w:rPr>
          <w:b w:val="0"/>
          <w:bCs w:val="0"/>
          <w:sz w:val="26"/>
          <w:szCs w:val="26"/>
          <w:lang w:val="en-US"/>
        </w:rPr>
        <w:t xml:space="preserve"> </w:t>
      </w:r>
      <w:r>
        <w:rPr>
          <w:b w:val="0"/>
          <w:bCs w:val="0"/>
          <w:sz w:val="26"/>
          <w:szCs w:val="26"/>
        </w:rPr>
        <w:t>платежеспособности и финансовой устойчивости предприятия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>4.1. Расчет показателей платежеспособности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  <w:lang w:val="en-US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Традиционные методы оценки платежеспособности и финансовой устойчивос-ти базируются на довольно большом количестве показателей (коэффициентов), про-изводных от структуры активов и пассивов баланса предприятия.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Платежеспособность выражается коэффициентами, измеряющими соотноше-ния оборотных активов или отдельных их элементов с краткосрочной задолженнос-тью, т.е. показывающими, в какой мере активы предприятия способны покрыть его долги.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Финансовая устойчивость выражается целым рядом коэффициентов, разносто-ронне оценивающих структуру баланса: соотношение заемных и собственных средств, доля собственных оборотных средств в капитале, доля имущества, состав-ляющего производственный потенциал предприятия, в общей стоимости активов и т.д. Цель такого набора показателей – оценка степени независимости предприятия случайностей, связанных не только с условиями рынка, но и с обычными срывами договоров, неплатежами и др.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условиях массовой неплатежеспособности предприятий и практического применения ко многим их них процедуры банкротства объективная и точная оценка их финансового состояния приобретает первостепенное значение. Главными крите-риями оценки финансового состояния являются показатели платежеспособности и финансовой устойчивости предприятия.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Традиционная схема оценки – расчет по балансовым данным коэффициентов финансовой устойчивости и платежеспособности и сопоставление их уровней с так называемыми нормативными уровнями, установленными либо экспертно, либо офи-циально.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Платежеспособность предприятия принято измерять тремя коэффициентами: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коэффициентом ликвидности;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промежуточным коэффициентом покрытия;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общим коэффициентом покрытия (или коэффициентом текущей ликвиднос-ти).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Все три показателя измеряют отношение оборотных активов предприятия к его краткосрочно задолженности. В первом коэффициенте в расчет принимаются самые ликвидные оборотные активы – денежные средства и краткосрочные финансовые вло-жения, во втором к ним добавляется дебиторская задолженность, а в третьем и запа-сы, т.е. расчет коэффициента текущей ликвидности – это практически расчет всей суммы оборотных активов на 1 руб. краткосрочной задолженности. Этот показатель и принят в качестве официального критерия  неплатежеспособности предприятия. Его преимущество перед двумя другими показателями платежеспособности в том, что он является обобщающим, учитывающим всю величину оборотных активов. Однако при этом необходимо иметь в виду, что составляющие суммы оборотных активов доста-точно разнородны по степени ликвидности. Если денежные средства и краткосрочные финансовые вложения - абсолютно ликвидные оборотные средства, то в составе деби-торской задолженности может быть безнадежная часть, а в составе запасов – трудно-реализуемые или вообще неликвидные материальные ценности. Оценка уровня коэф-фициента текущей ликвидности без учета этих обстоятельств может привести к не-точным выводам.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Финансовая устойчивость предприятий принято оценивать достаточно боль-шим количеством коэффициентов. К ним относятся: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коэф. обеспеченности запасов собственными оборотными средствами, рассчи-тываемый как частное от деления собственных оборотных средств на материальные оборотные активы;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коэф. реальной стоимости имущества – доля производственного потенциала в общей величине активов. В состав производственного потенциала входят основные средства, производственные запасы, НЗП, МБП;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коэф. маневренности собственных средств, т.е. отношение собственных обо-ротных средств к сумме капитала и резервов;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коэф. автономии предприятия – частное от деления капитала и резервов на общую величину пассивов;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коэф. долгосрочного привлечения заемных средств – отношение долгосроч-ных кредитов и займов ко всей сумме задолженности предприятия;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индекс постоянного актива, определяемый делением величины внеоборотных активов на стоимость капитала и резервов.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Названные коэффициенты не исчерпывают всех возможных комбинаций в из-мерении структурных соотношений бухгалтерского баланса.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Некоторые коэффициенты либо дублируют друг друга, либо противоречат друг другу, либо в настоящее время не имеют практического значения.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>Многие из коэффициентов, коэффициент маневренности собственных средств и индекс постоянного актива, находятся в функциональной зависимости и при сложе-нии, как правило, дают 1. Рост одного из них приводит к снижению другого. Кроме того, оценивать финансовую устойчивость по каждому из двух рассматриваемых коэффициентов нецелесообразно, т.к. их уровень зависит от структуры имущества и специфики деятельности предприятий, а рост (снижение) необязательно означает по-вышение (понижение) финансовой устойчивости.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Коэффициент автономии предприятия оценивает финансовую устойчивость с той же стороны, что и коэффициент соотношения заемных и собственных средств, т.е. повторяет последний.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Коэффициент долгосрочного привлечения заемных средств практически не ра-ботает, т.к. долгосрочные кредиты и займы у предприятий, как правило, отсутствуют; тем более предприятия едва ли могут сейчас выбирать между долгосрочными и крат-косрочными кредитами и привлекать кредиты в наиболее целесообразных для себя формах.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</w:r>
      <w:r>
        <w:rPr>
          <w:b w:val="0"/>
          <w:bCs w:val="0"/>
          <w:sz w:val="26"/>
          <w:szCs w:val="26"/>
        </w:rPr>
        <w:tab/>
        <w:t xml:space="preserve">         Таблица 3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559"/>
        <w:gridCol w:w="1413"/>
        <w:gridCol w:w="7"/>
        <w:gridCol w:w="1236"/>
      </w:tblGrid>
      <w:tr w:rsidR="00A72770">
        <w:trPr>
          <w:cantSplit/>
          <w:trHeight w:val="240"/>
        </w:trPr>
        <w:tc>
          <w:tcPr>
            <w:tcW w:w="3794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начало года</w:t>
            </w:r>
          </w:p>
        </w:tc>
        <w:tc>
          <w:tcPr>
            <w:tcW w:w="1559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3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 (+/-)</w:t>
            </w:r>
          </w:p>
        </w:tc>
      </w:tr>
      <w:tr w:rsidR="00A72770">
        <w:trPr>
          <w:cantSplit/>
          <w:trHeight w:val="300"/>
        </w:trPr>
        <w:tc>
          <w:tcPr>
            <w:tcW w:w="379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 руб.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 %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1.Краткосроч. задолженность, руб.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88,08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77,07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-11,01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-12,5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 Оборотные активы, руб. в т.ч.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169,00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164,44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-4,56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-2,7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2.1. Запасы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131,37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85,00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-46,37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-35,3</w:t>
            </w:r>
          </w:p>
        </w:tc>
      </w:tr>
      <w:tr w:rsidR="00A72770">
        <w:tc>
          <w:tcPr>
            <w:tcW w:w="3794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2.2. Дебиторская задолженность с ожидаемыми платежами в теч. 12 месяцев</w:t>
            </w:r>
          </w:p>
        </w:tc>
        <w:tc>
          <w:tcPr>
            <w:tcW w:w="184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22,42</w:t>
            </w:r>
          </w:p>
        </w:tc>
        <w:tc>
          <w:tcPr>
            <w:tcW w:w="141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+22,42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                            Продолжение табл.3</w:t>
            </w: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72770">
        <w:trPr>
          <w:cantSplit/>
          <w:trHeight w:val="320"/>
        </w:trPr>
        <w:tc>
          <w:tcPr>
            <w:tcW w:w="3794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начало года</w:t>
            </w:r>
          </w:p>
        </w:tc>
        <w:tc>
          <w:tcPr>
            <w:tcW w:w="1559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3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Отклонение(+/-)</w:t>
            </w:r>
          </w:p>
        </w:tc>
      </w:tr>
      <w:tr w:rsidR="00A72770">
        <w:trPr>
          <w:cantSplit/>
          <w:trHeight w:val="260"/>
        </w:trPr>
        <w:tc>
          <w:tcPr>
            <w:tcW w:w="379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20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 руб</w:t>
            </w:r>
          </w:p>
        </w:tc>
        <w:tc>
          <w:tcPr>
            <w:tcW w:w="1236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 %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2.3. Денежные средства и краткосрочные финансовые вложения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37,63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43,7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+6,07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+16,1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2.4. Прочие оборотные активы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13,32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+13,32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Собственные оборотные средства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Коэф. абсолютной ликвидности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0,43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0,57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+0,14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+32,5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 Промежуточный коэффициент ликвидности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0,43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0,86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+0,43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+100,0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 Коэф. текущей ликвидности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1,92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2,13</w:t>
            </w:r>
          </w:p>
        </w:tc>
        <w:tc>
          <w:tcPr>
            <w:tcW w:w="141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+0,21</w:t>
            </w:r>
          </w:p>
        </w:tc>
        <w:tc>
          <w:tcPr>
            <w:tcW w:w="124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+10,9</w:t>
            </w:r>
          </w:p>
        </w:tc>
      </w:tr>
      <w:tr w:rsidR="00A72770">
        <w:tc>
          <w:tcPr>
            <w:tcW w:w="3794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 Коэффициент обеспеченности собственными средствами</w:t>
            </w:r>
          </w:p>
        </w:tc>
        <w:tc>
          <w:tcPr>
            <w:tcW w:w="184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0,48</w:t>
            </w:r>
          </w:p>
        </w:tc>
        <w:tc>
          <w:tcPr>
            <w:tcW w:w="1559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0,53</w:t>
            </w:r>
          </w:p>
        </w:tc>
        <w:tc>
          <w:tcPr>
            <w:tcW w:w="141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+0,05</w:t>
            </w:r>
          </w:p>
        </w:tc>
        <w:tc>
          <w:tcPr>
            <w:tcW w:w="1243" w:type="dxa"/>
            <w:gridSpan w:val="2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+10,4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По данным таблицы, предприятие имеет более высокий уровень платежеспо-собности на конец года, чем на начало. Об этом свидетельствует абсолютный рост значений коэффициентов платежеспособности. Коэффициент абсолютной ликвиднос-ти увеличился к концу отчетного периода на 0,14, что составляет 32,5%. Это произо-шло благодаря росту денежных средств и краткосрочных финансовых вложений в ак-тиве предприятия на 6,07 руб. или 16,1% и снижению краткосрочной задолженности на 11,01 руб. или 12,5%. Надо заметить, что данное снижение кредиторской задол-женности благотворно повлияло на все коэффициенты платежеспособности.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Промежуточный коэффициент платежеспособности увеличился на 0,43 или на 100%. Такое большое увеличение произошло из-за значительного увеличения деби-торской задолженности с ожидаемыми платежами в течение 12 месяцев и, как было отмечено ранее, роста денежных средств и краткосрочных финансовых вложений.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Коэффициент текущей ликвидности увеличился с начала отчетного периода на 0,21 или 10,9%. Этот показатель увеличился в меньшей степени, чем два других коэф-фициента. Случилось это потому, что одновременно со снижением краткосрочной за-долженности снизилась и общая сумма оборотных активов. Увеличение в их составе дебиторской задолженности с ожидаемыми платежами в течение 12 мес., денежных средств и краткосрочных финансовых вложений и прочих оборотных активов, к сожа-лению, не смогло нейтрализовать отрицательного влияния снижения уровня запасов на 46,37 руб. или на 35,3%. В общей сложности оборотные активы снизились на 4,56 руб. или на 2,7%, что привело к соответствующим последствиям. 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Надо отметить, что нормальным ограничением коэффициента абсолютной лик-видности является следующий диапазон Кал </w:t>
      </w:r>
      <w:r>
        <w:rPr>
          <w:b w:val="0"/>
          <w:bCs w:val="0"/>
          <w:sz w:val="26"/>
          <w:szCs w:val="26"/>
        </w:rPr>
        <w:sym w:font="Symbol" w:char="F0CE"/>
      </w:r>
      <w:r>
        <w:rPr>
          <w:b w:val="0"/>
          <w:bCs w:val="0"/>
          <w:sz w:val="26"/>
          <w:szCs w:val="26"/>
        </w:rPr>
        <w:t xml:space="preserve"> [0,2; 0,5], т.е. имеющиеся значения данного показателя находятся на приемлемом уровне как на начало отчетного перио-да, так и на конец отчетного периода.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Оценка нижней нормальной границы промежуточного коэффициента ликвид-ности выглядит так: Ккл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1. Из этого следует, что рассчитанные значения коэффи-циента значительно ниже необходимого уровня, т.е. предприятию необходимо продолжать политику по увеличению как абсолютно ликвидных активов предприятия (денежные средства и краткосрочные финансовые вложения), так и дебиторской за-долженности с ожидаемыми платежами в течение 12 месяцев.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Официально установленным ограничением коэффициента текущей ликвиднос-ти является следующее: Ктл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2. На начало отчетного периода предприятие не обла-дает необходимым уровнем данного показателя, но к концу отчетного периода пред-приятию удается достигнуть требуемого уровня коэффициента. 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настоящее время в качестве официальных критериев платежеспособности предприятия принято два коэффициента: коэффициент текущей ликвидности и коэф-фициент обеспеченности собственными средствами. Именно по их уровням принима-ется решение, есть ли основание считать предприятие неплатежеспособным. Если хо-тя бы один из двух коэффициентов ниже минимального уровня, предприятие может быть признано неплатежеспособным.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Официально установленный уровень коэффициента обеспеченности собствен-ными средствами составляет Ко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0,1. Однако, как было показано в теоретической части, данный коэффициент находится в прямой зависимости от коэффициента теку-щей ликвидности. Если учесть это, то минимально необходимый уровень коэффици-ента обеспеченности собственными средствами равен 0,5. Исходя из этого, можно сделать вывод о том, что в начале отчетного периода предприятие далеко от того, что-бы признать его платежеспособным, т.к. уровни обоих коэффициентов ниже мини-мально необходимых. 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 конец отчетного периода предприятие добилось значительных успехов, т.к. значения обоих коэффициентов находятся на требуемом уровне. Следовательно, предприятие в конце отчетного года может быть признано платежеспособным, что было достигнуто одновременным снижением краткосрочной задолженности и ростом собственных оборотных средств.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4.2. Расчет абсолютных показателей финансовой устойчивости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ходе производственной деятельности на предприятии идет постоянное  фор-мирование (пополнение) запасов товарно-материальных ценностей. Для этого ис-пользуются как собственные оборотные средства, так и заемные (долгосрочные и краткосрочные кредиты и займы). Анализируя соответствие или несоответствие (из-лишек или недостаток) средств для формирования запасов и затрат, определяют абсо-лютные показатели финансовой устойчивости.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Для полного отражения разных видов источников (собственных средств, долго-срочных и краткосрочных кредитов и займов) в формировании запасов и затрат ис-пользуются следующие показатели: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 Наличие собственных оборотных средств.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Определяется как разница величины собственных средств и величины основ-ных средств и вложений (внеоборотных средств):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Ес = Ис - </w:t>
      </w:r>
      <w:r>
        <w:rPr>
          <w:b w:val="0"/>
          <w:bCs w:val="0"/>
          <w:sz w:val="26"/>
          <w:szCs w:val="26"/>
          <w:lang w:val="en-US"/>
        </w:rPr>
        <w:t>F</w:t>
      </w:r>
      <w:r>
        <w:rPr>
          <w:b w:val="0"/>
          <w:bCs w:val="0"/>
          <w:sz w:val="26"/>
          <w:szCs w:val="26"/>
        </w:rPr>
        <w:t>,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где Ес</w:t>
      </w:r>
      <w:r>
        <w:rPr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- наличие собственных оборотных средств;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Ис – источники собственных средств (итог разд. IV</w:t>
      </w:r>
      <w:r>
        <w:rPr>
          <w:b w:val="0"/>
          <w:bCs w:val="0"/>
          <w:sz w:val="26"/>
          <w:szCs w:val="26"/>
          <w:lang w:val="en-US"/>
        </w:rPr>
        <w:t xml:space="preserve"> </w:t>
      </w:r>
      <w:r>
        <w:rPr>
          <w:b w:val="0"/>
          <w:bCs w:val="0"/>
          <w:sz w:val="26"/>
          <w:szCs w:val="26"/>
        </w:rPr>
        <w:t>''Капитал и резервы'');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</w:t>
      </w:r>
      <w:r>
        <w:rPr>
          <w:b w:val="0"/>
          <w:bCs w:val="0"/>
          <w:sz w:val="26"/>
          <w:szCs w:val="26"/>
          <w:lang w:val="en-US"/>
        </w:rPr>
        <w:t>F</w:t>
      </w:r>
      <w:r>
        <w:rPr>
          <w:sz w:val="26"/>
          <w:szCs w:val="26"/>
          <w:lang w:val="en-US"/>
        </w:rPr>
        <w:t xml:space="preserve"> –</w:t>
      </w:r>
      <w:r>
        <w:rPr>
          <w:b w:val="0"/>
          <w:bCs w:val="0"/>
          <w:sz w:val="26"/>
          <w:szCs w:val="26"/>
        </w:rPr>
        <w:t xml:space="preserve"> основные средства и вложения (итог разд. </w:t>
      </w:r>
      <w:r>
        <w:rPr>
          <w:b w:val="0"/>
          <w:bCs w:val="0"/>
          <w:sz w:val="26"/>
          <w:szCs w:val="26"/>
          <w:lang w:val="en-US"/>
        </w:rPr>
        <w:t>I</w:t>
      </w:r>
      <w:r>
        <w:rPr>
          <w:b w:val="0"/>
          <w:bCs w:val="0"/>
          <w:sz w:val="26"/>
          <w:szCs w:val="26"/>
        </w:rPr>
        <w:t xml:space="preserve"> ''Внеоборотные активы'').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 Наличие собственных оборотных средств и долгосрочных заемных источни-ков для формирования запасов и затрат.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Определяется как сумма собственных оборотных средств и долгосрочных кре-дитов и займов: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Ет = Ес + Кт = (Ис + Кт) – </w:t>
      </w:r>
      <w:r>
        <w:rPr>
          <w:b w:val="0"/>
          <w:bCs w:val="0"/>
          <w:sz w:val="26"/>
          <w:szCs w:val="26"/>
          <w:lang w:val="en-US"/>
        </w:rPr>
        <w:t>F</w:t>
      </w:r>
      <w:r>
        <w:rPr>
          <w:b w:val="0"/>
          <w:bCs w:val="0"/>
          <w:sz w:val="26"/>
          <w:szCs w:val="26"/>
        </w:rPr>
        <w:t>,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где Ет</w:t>
      </w:r>
      <w:r>
        <w:rPr>
          <w:sz w:val="26"/>
          <w:szCs w:val="26"/>
        </w:rPr>
        <w:t xml:space="preserve"> – </w:t>
      </w:r>
      <w:r>
        <w:rPr>
          <w:b w:val="0"/>
          <w:bCs w:val="0"/>
          <w:sz w:val="26"/>
          <w:szCs w:val="26"/>
        </w:rPr>
        <w:t>наличие собственных оборотных средств и долгосрочных заемных источни-ков для формирования запасов и затрат;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Кт – долгосрочные кредиты и заемные средства (итог разд. </w:t>
      </w:r>
      <w:r>
        <w:rPr>
          <w:b w:val="0"/>
          <w:bCs w:val="0"/>
          <w:sz w:val="26"/>
          <w:szCs w:val="26"/>
          <w:lang w:val="en-US"/>
        </w:rPr>
        <w:t xml:space="preserve">V баланса </w:t>
      </w:r>
      <w:r>
        <w:rPr>
          <w:b w:val="0"/>
          <w:bCs w:val="0"/>
          <w:sz w:val="26"/>
          <w:szCs w:val="26"/>
        </w:rPr>
        <w:t>''</w:t>
      </w:r>
      <w:r>
        <w:rPr>
          <w:b w:val="0"/>
          <w:bCs w:val="0"/>
          <w:sz w:val="26"/>
          <w:szCs w:val="26"/>
          <w:lang w:val="en-US"/>
        </w:rPr>
        <w:t>Долго-срочные пассивы</w:t>
      </w:r>
      <w:r>
        <w:rPr>
          <w:b w:val="0"/>
          <w:bCs w:val="0"/>
          <w:sz w:val="26"/>
          <w:szCs w:val="26"/>
        </w:rPr>
        <w:t>''</w:t>
      </w:r>
      <w:r>
        <w:rPr>
          <w:b w:val="0"/>
          <w:bCs w:val="0"/>
          <w:sz w:val="26"/>
          <w:szCs w:val="26"/>
          <w:lang w:val="en-US"/>
        </w:rPr>
        <w:t>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>3. Общая величина основных источников средств для формирования запасов и затрат.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Рассчитывается как сумма собственных оборотных средств, долгосрочных </w:t>
      </w:r>
      <w:r>
        <w:rPr>
          <w:b w:val="0"/>
          <w:bCs w:val="0"/>
          <w:sz w:val="26"/>
          <w:szCs w:val="26"/>
        </w:rPr>
        <w:t>и краткосрочных кредитов и займов: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Е = Ет + К</w:t>
      </w:r>
      <w:r>
        <w:rPr>
          <w:b w:val="0"/>
          <w:bCs w:val="0"/>
          <w:sz w:val="26"/>
          <w:szCs w:val="26"/>
          <w:lang w:val="en-US"/>
        </w:rPr>
        <w:t>t = (</w:t>
      </w:r>
      <w:r>
        <w:rPr>
          <w:b w:val="0"/>
          <w:bCs w:val="0"/>
          <w:sz w:val="26"/>
          <w:szCs w:val="26"/>
        </w:rPr>
        <w:t>Ис + Кт + К</w:t>
      </w:r>
      <w:r>
        <w:rPr>
          <w:b w:val="0"/>
          <w:bCs w:val="0"/>
          <w:sz w:val="26"/>
          <w:szCs w:val="26"/>
          <w:lang w:val="en-US"/>
        </w:rPr>
        <w:t>t</w:t>
      </w:r>
      <w:r>
        <w:rPr>
          <w:b w:val="0"/>
          <w:bCs w:val="0"/>
          <w:sz w:val="26"/>
          <w:szCs w:val="26"/>
        </w:rPr>
        <w:t xml:space="preserve">) – </w:t>
      </w:r>
      <w:r>
        <w:rPr>
          <w:b w:val="0"/>
          <w:bCs w:val="0"/>
          <w:sz w:val="26"/>
          <w:szCs w:val="26"/>
          <w:lang w:val="en-US"/>
        </w:rPr>
        <w:t>F</w:t>
      </w:r>
      <w:r>
        <w:rPr>
          <w:b w:val="0"/>
          <w:bCs w:val="0"/>
          <w:sz w:val="26"/>
          <w:szCs w:val="26"/>
        </w:rPr>
        <w:t>,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где Е </w:t>
      </w:r>
      <w:r>
        <w:rPr>
          <w:sz w:val="26"/>
          <w:szCs w:val="26"/>
        </w:rPr>
        <w:t xml:space="preserve">– </w:t>
      </w:r>
      <w:r>
        <w:rPr>
          <w:b w:val="0"/>
          <w:bCs w:val="0"/>
          <w:sz w:val="26"/>
          <w:szCs w:val="26"/>
        </w:rPr>
        <w:t>общая величина основных источников средств для формирования запасов и затрат;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</w:t>
      </w:r>
      <w:r>
        <w:rPr>
          <w:b w:val="0"/>
          <w:bCs w:val="0"/>
          <w:sz w:val="26"/>
          <w:szCs w:val="26"/>
          <w:lang w:val="en-US"/>
        </w:rPr>
        <w:t>Kt</w:t>
      </w:r>
      <w:r>
        <w:rPr>
          <w:b w:val="0"/>
          <w:bCs w:val="0"/>
          <w:sz w:val="26"/>
          <w:szCs w:val="26"/>
        </w:rPr>
        <w:t xml:space="preserve"> – краткосрочные кредиты и займы (итог разд. </w:t>
      </w:r>
      <w:r>
        <w:rPr>
          <w:b w:val="0"/>
          <w:bCs w:val="0"/>
          <w:sz w:val="26"/>
          <w:szCs w:val="26"/>
          <w:lang w:val="en-US"/>
        </w:rPr>
        <w:t>VI</w:t>
      </w:r>
      <w:r>
        <w:rPr>
          <w:b w:val="0"/>
          <w:bCs w:val="0"/>
          <w:sz w:val="26"/>
          <w:szCs w:val="26"/>
        </w:rPr>
        <w:t xml:space="preserve"> баланса ''Долгосрочные пассивы'').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 основе этих трех показателей, характеризующих наличие источников, кото-рые формируют запасы и затраты для производственной деятельности, рассчитыва-ются величины, дающие оценку размера (достаточности) источников для покрытия запасов и затрат: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 Излишек (+) или недостаток (-) собственных оборотных средств: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Ес =Ес – </w:t>
      </w:r>
      <w:r>
        <w:rPr>
          <w:b w:val="0"/>
          <w:bCs w:val="0"/>
          <w:sz w:val="26"/>
          <w:szCs w:val="26"/>
          <w:lang w:val="en-US"/>
        </w:rPr>
        <w:t>Z ,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где Z </w:t>
      </w:r>
      <w:r>
        <w:rPr>
          <w:sz w:val="26"/>
          <w:szCs w:val="26"/>
          <w:lang w:val="en-US"/>
        </w:rPr>
        <w:t xml:space="preserve">– </w:t>
      </w:r>
      <w:r>
        <w:rPr>
          <w:b w:val="0"/>
          <w:bCs w:val="0"/>
          <w:sz w:val="26"/>
          <w:szCs w:val="26"/>
          <w:lang w:val="en-US"/>
        </w:rPr>
        <w:t xml:space="preserve">запасы </w:t>
      </w:r>
      <w:r>
        <w:rPr>
          <w:b w:val="0"/>
          <w:bCs w:val="0"/>
          <w:sz w:val="26"/>
          <w:szCs w:val="26"/>
        </w:rPr>
        <w:t xml:space="preserve">и затраты (стр. 210 + стр. 220 разд. </w:t>
      </w:r>
      <w:r>
        <w:rPr>
          <w:b w:val="0"/>
          <w:bCs w:val="0"/>
          <w:sz w:val="26"/>
          <w:szCs w:val="26"/>
          <w:lang w:val="en-US"/>
        </w:rPr>
        <w:t>II</w:t>
      </w:r>
      <w:r>
        <w:rPr>
          <w:sz w:val="26"/>
          <w:szCs w:val="26"/>
          <w:lang w:val="en-US"/>
        </w:rPr>
        <w:t xml:space="preserve"> </w:t>
      </w:r>
      <w:r>
        <w:rPr>
          <w:b w:val="0"/>
          <w:bCs w:val="0"/>
          <w:sz w:val="26"/>
          <w:szCs w:val="26"/>
          <w:lang w:val="en-US"/>
        </w:rPr>
        <w:t xml:space="preserve">баланса </w:t>
      </w:r>
      <w:r>
        <w:rPr>
          <w:b w:val="0"/>
          <w:bCs w:val="0"/>
          <w:sz w:val="26"/>
          <w:szCs w:val="26"/>
        </w:rPr>
        <w:t>''Оборотные активы'').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 Излишек (+) или недостаток (-) собственных оборотных и долгосрочных за-емных источников формирования запасов и затрат: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                                 </w:t>
      </w:r>
      <w:r>
        <w:rPr>
          <w:b w:val="0"/>
          <w:bCs w:val="0"/>
          <w:sz w:val="26"/>
          <w:szCs w:val="26"/>
          <w:lang w:val="en-US"/>
        </w:rPr>
        <w:t xml:space="preserve">      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Et – Z = (Ec + K</w:t>
      </w:r>
      <w:r>
        <w:rPr>
          <w:b w:val="0"/>
          <w:bCs w:val="0"/>
          <w:sz w:val="26"/>
          <w:szCs w:val="26"/>
        </w:rPr>
        <w:t xml:space="preserve">т) – </w:t>
      </w:r>
      <w:r>
        <w:rPr>
          <w:b w:val="0"/>
          <w:bCs w:val="0"/>
          <w:sz w:val="26"/>
          <w:szCs w:val="26"/>
          <w:lang w:val="en-US"/>
        </w:rPr>
        <w:t>Z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>3</w:t>
      </w:r>
      <w:r>
        <w:rPr>
          <w:b w:val="0"/>
          <w:bCs w:val="0"/>
          <w:sz w:val="26"/>
          <w:szCs w:val="26"/>
        </w:rPr>
        <w:t>. Излишек (+) или недостаток (-) общей величины основных источников для формирования запасов и затрат: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 = Е – </w:t>
      </w:r>
      <w:r>
        <w:rPr>
          <w:b w:val="0"/>
          <w:bCs w:val="0"/>
          <w:sz w:val="26"/>
          <w:szCs w:val="26"/>
          <w:lang w:val="en-US"/>
        </w:rPr>
        <w:t xml:space="preserve">Z </w:t>
      </w:r>
      <w:r>
        <w:rPr>
          <w:b w:val="0"/>
          <w:bCs w:val="0"/>
          <w:sz w:val="26"/>
          <w:szCs w:val="26"/>
        </w:rPr>
        <w:t>= (Ес + Кт +К</w:t>
      </w:r>
      <w:r>
        <w:rPr>
          <w:b w:val="0"/>
          <w:bCs w:val="0"/>
          <w:sz w:val="26"/>
          <w:szCs w:val="26"/>
          <w:lang w:val="en-US"/>
        </w:rPr>
        <w:t>t</w:t>
      </w:r>
      <w:r>
        <w:rPr>
          <w:b w:val="0"/>
          <w:bCs w:val="0"/>
          <w:sz w:val="26"/>
          <w:szCs w:val="26"/>
        </w:rPr>
        <w:t xml:space="preserve">) – </w:t>
      </w:r>
      <w:r>
        <w:rPr>
          <w:b w:val="0"/>
          <w:bCs w:val="0"/>
          <w:sz w:val="26"/>
          <w:szCs w:val="26"/>
          <w:lang w:val="en-US"/>
        </w:rPr>
        <w:t>Z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Показатели обеспеченности запасов и затрат источниками их формирования   (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Ес;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Ет;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Е) являются базой для классификации финансового состояния пред-приятий по степени устойчивости.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 определении типа финансовой устойчивости следует использовать трех-мерный (трехкомпонентный) показатель: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S = {S1(x1); S2(x2); S3(x3)},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где x1=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Ec; x2 =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Eт; x3 =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E.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Функция</w:t>
      </w:r>
      <w:r>
        <w:rPr>
          <w:b w:val="0"/>
          <w:bCs w:val="0"/>
          <w:sz w:val="26"/>
          <w:szCs w:val="26"/>
          <w:lang w:val="en-US"/>
        </w:rPr>
        <w:t xml:space="preserve"> S(x) </w:t>
      </w:r>
      <w:r>
        <w:rPr>
          <w:b w:val="0"/>
          <w:bCs w:val="0"/>
          <w:sz w:val="26"/>
          <w:szCs w:val="26"/>
        </w:rPr>
        <w:t>определяется следующим образом:</w:t>
      </w:r>
      <w:r>
        <w:rPr>
          <w:b w:val="0"/>
          <w:bCs w:val="0"/>
          <w:sz w:val="26"/>
          <w:szCs w:val="26"/>
          <w:lang w:val="en-US"/>
        </w:rPr>
        <w:t xml:space="preserve">                                        </w:t>
      </w:r>
    </w:p>
    <w:p w:rsidR="00A72770" w:rsidRDefault="00A40E0C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172.75pt;margin-top:.35pt;width:12pt;height:29.5pt;z-index:251656704" o:allowincell="f"/>
        </w:pict>
      </w:r>
      <w:r w:rsidR="00A72770">
        <w:rPr>
          <w:b w:val="0"/>
          <w:bCs w:val="0"/>
          <w:sz w:val="26"/>
          <w:szCs w:val="26"/>
          <w:lang w:val="en-US"/>
        </w:rPr>
        <w:t xml:space="preserve">                                                S(x)=    1, если х </w:t>
      </w:r>
      <w:r w:rsidR="00A72770">
        <w:rPr>
          <w:b w:val="0"/>
          <w:bCs w:val="0"/>
          <w:sz w:val="26"/>
          <w:szCs w:val="26"/>
          <w:lang w:val="en-US"/>
        </w:rPr>
        <w:sym w:font="Symbol" w:char="F0B3"/>
      </w:r>
      <w:r w:rsidR="00A72770">
        <w:rPr>
          <w:b w:val="0"/>
          <w:bCs w:val="0"/>
          <w:sz w:val="26"/>
          <w:szCs w:val="26"/>
          <w:lang w:val="en-US"/>
        </w:rPr>
        <w:t xml:space="preserve"> 0;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          0, если х &lt; 0.</w:t>
      </w:r>
    </w:p>
    <w:p w:rsidR="00A72770" w:rsidRDefault="00A72770">
      <w:pPr>
        <w:pStyle w:val="21"/>
        <w:ind w:firstLine="36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>Выделяются</w:t>
      </w:r>
      <w:r>
        <w:rPr>
          <w:b w:val="0"/>
          <w:bCs w:val="0"/>
          <w:sz w:val="26"/>
          <w:szCs w:val="26"/>
        </w:rPr>
        <w:t xml:space="preserve"> четыре основных типа финансовой устойчивости предприятия: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1.Абсолютная устойчивость финансового состояния.</w:t>
      </w:r>
    </w:p>
    <w:p w:rsidR="00A72770" w:rsidRDefault="00A40E0C">
      <w:pPr>
        <w:pStyle w:val="21"/>
        <w:rPr>
          <w:b w:val="0"/>
          <w:bCs w:val="0"/>
          <w:sz w:val="26"/>
          <w:szCs w:val="26"/>
        </w:rPr>
      </w:pPr>
      <w:r>
        <w:rPr>
          <w:noProof/>
        </w:rPr>
        <w:pict>
          <v:shape id="_x0000_s1027" type="#_x0000_t87" style="position:absolute;margin-left:142.15pt;margin-top:12.65pt;width:12pt;height:43.65pt;z-index:251655680" o:allowincell="f"/>
        </w:pict>
      </w:r>
      <w:r w:rsidR="00A72770">
        <w:rPr>
          <w:b w:val="0"/>
          <w:bCs w:val="0"/>
          <w:sz w:val="26"/>
          <w:szCs w:val="26"/>
        </w:rPr>
        <w:tab/>
        <w:t xml:space="preserve">Определяется условиями:            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</w:t>
      </w:r>
      <w:r>
        <w:rPr>
          <w:b w:val="0"/>
          <w:bCs w:val="0"/>
          <w:sz w:val="26"/>
          <w:szCs w:val="26"/>
          <w:lang w:val="en-US"/>
        </w:rPr>
        <w:t xml:space="preserve">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Ec </w:t>
      </w:r>
      <w:r>
        <w:rPr>
          <w:b w:val="0"/>
          <w:bCs w:val="0"/>
          <w:sz w:val="26"/>
          <w:szCs w:val="26"/>
          <w:lang w:val="en-US"/>
        </w:rPr>
        <w:sym w:font="Symbol" w:char="F0B3"/>
      </w:r>
      <w:r>
        <w:rPr>
          <w:b w:val="0"/>
          <w:bCs w:val="0"/>
          <w:sz w:val="26"/>
          <w:szCs w:val="26"/>
          <w:lang w:val="en-US"/>
        </w:rPr>
        <w:t xml:space="preserve"> 0;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Eт </w:t>
      </w:r>
      <w:r>
        <w:rPr>
          <w:b w:val="0"/>
          <w:bCs w:val="0"/>
          <w:sz w:val="26"/>
          <w:szCs w:val="26"/>
          <w:lang w:val="en-US"/>
        </w:rPr>
        <w:sym w:font="Symbol" w:char="F0B3"/>
      </w:r>
      <w:r>
        <w:rPr>
          <w:b w:val="0"/>
          <w:bCs w:val="0"/>
          <w:sz w:val="26"/>
          <w:szCs w:val="26"/>
          <w:lang w:val="en-US"/>
        </w:rPr>
        <w:t xml:space="preserve"> 0;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E </w:t>
      </w:r>
      <w:r>
        <w:rPr>
          <w:b w:val="0"/>
          <w:bCs w:val="0"/>
          <w:sz w:val="26"/>
          <w:szCs w:val="26"/>
          <w:lang w:val="en-US"/>
        </w:rPr>
        <w:sym w:font="Symbol" w:char="F0B3"/>
      </w:r>
      <w:r>
        <w:rPr>
          <w:b w:val="0"/>
          <w:bCs w:val="0"/>
          <w:sz w:val="26"/>
          <w:szCs w:val="26"/>
          <w:lang w:val="en-US"/>
        </w:rPr>
        <w:t xml:space="preserve"> 0. 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>Трехмерный показатель S = (1; 1; 1)</w:t>
      </w:r>
      <w:r>
        <w:rPr>
          <w:b w:val="0"/>
          <w:bCs w:val="0"/>
          <w:sz w:val="26"/>
          <w:szCs w:val="26"/>
        </w:rPr>
        <w:t>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Абсолютная устойчивость финансового состояния показывает, что запасы и за-траты полностью покрываются собственными оборотными средствами. Предприятие практически не зависит от кредиторов. Такая ситуация относится к крайнему типу финансовой устойчивости и на практике встречается довольно редко. Однако ее нель-зя рассматривать как идеальную, так как предприятие не использует внешние источ-ники финансирования в своей хозяйственной деятельности.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 Нормальная устойчивость финансового состояния.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Определяется условиями:</w:t>
      </w:r>
    </w:p>
    <w:p w:rsidR="00A72770" w:rsidRDefault="00A40E0C">
      <w:pPr>
        <w:pStyle w:val="21"/>
        <w:rPr>
          <w:b w:val="0"/>
          <w:bCs w:val="0"/>
          <w:sz w:val="26"/>
          <w:szCs w:val="26"/>
        </w:rPr>
      </w:pPr>
      <w:r>
        <w:rPr>
          <w:noProof/>
        </w:rPr>
        <w:pict>
          <v:shape id="_x0000_s1028" type="#_x0000_t87" style="position:absolute;margin-left:142.15pt;margin-top:.95pt;width:7.1pt;height:43.95pt;z-index:251657728" o:allowincell="f"/>
        </w:pict>
      </w:r>
      <w:r w:rsidR="00A72770">
        <w:rPr>
          <w:b w:val="0"/>
          <w:bCs w:val="0"/>
          <w:sz w:val="26"/>
          <w:szCs w:val="26"/>
        </w:rPr>
        <w:t xml:space="preserve">                                                   </w:t>
      </w:r>
      <w:r w:rsidR="00A72770">
        <w:rPr>
          <w:b w:val="0"/>
          <w:bCs w:val="0"/>
          <w:sz w:val="26"/>
          <w:szCs w:val="26"/>
        </w:rPr>
        <w:sym w:font="Symbol" w:char="F0B1"/>
      </w:r>
      <w:r w:rsidR="00A72770">
        <w:rPr>
          <w:b w:val="0"/>
          <w:bCs w:val="0"/>
          <w:sz w:val="26"/>
          <w:szCs w:val="26"/>
        </w:rPr>
        <w:t>Ес &lt; 0;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Ет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0;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0.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Трехмерный </w:t>
      </w:r>
      <w:r>
        <w:rPr>
          <w:b w:val="0"/>
          <w:bCs w:val="0"/>
          <w:sz w:val="26"/>
          <w:szCs w:val="26"/>
        </w:rPr>
        <w:t xml:space="preserve">показатель </w:t>
      </w:r>
      <w:r>
        <w:rPr>
          <w:b w:val="0"/>
          <w:bCs w:val="0"/>
          <w:sz w:val="26"/>
          <w:szCs w:val="26"/>
          <w:lang w:val="en-US"/>
        </w:rPr>
        <w:t>S</w:t>
      </w:r>
      <w:r>
        <w:rPr>
          <w:b w:val="0"/>
          <w:bCs w:val="0"/>
          <w:sz w:val="26"/>
          <w:szCs w:val="26"/>
        </w:rPr>
        <w:t xml:space="preserve"> = (0; 1; 1).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Предприятие оптимально использует собственные и кредитные ресурсы. Теку-щие активы превышают кредиторскую задолженность.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 Неустойчивое финансовое состояние.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Определяется условиями:</w:t>
      </w:r>
    </w:p>
    <w:p w:rsidR="00A72770" w:rsidRDefault="00A40E0C">
      <w:pPr>
        <w:pStyle w:val="21"/>
        <w:rPr>
          <w:b w:val="0"/>
          <w:bCs w:val="0"/>
          <w:sz w:val="26"/>
          <w:szCs w:val="26"/>
        </w:rPr>
      </w:pPr>
      <w:r>
        <w:rPr>
          <w:noProof/>
        </w:rPr>
        <w:pict>
          <v:shape id="_x0000_s1029" type="#_x0000_t87" style="position:absolute;margin-left:142.15pt;margin-top:1.45pt;width:7.1pt;height:43.95pt;z-index:251658752" o:allowincell="f"/>
        </w:pict>
      </w:r>
      <w:r w:rsidR="00A72770">
        <w:rPr>
          <w:b w:val="0"/>
          <w:bCs w:val="0"/>
          <w:sz w:val="26"/>
          <w:szCs w:val="26"/>
        </w:rPr>
        <w:t xml:space="preserve">                                                   </w:t>
      </w:r>
      <w:r w:rsidR="00A72770">
        <w:rPr>
          <w:b w:val="0"/>
          <w:bCs w:val="0"/>
          <w:sz w:val="26"/>
          <w:szCs w:val="26"/>
        </w:rPr>
        <w:sym w:font="Symbol" w:char="F0B1"/>
      </w:r>
      <w:r w:rsidR="00A72770">
        <w:rPr>
          <w:b w:val="0"/>
          <w:bCs w:val="0"/>
          <w:sz w:val="26"/>
          <w:szCs w:val="26"/>
        </w:rPr>
        <w:t xml:space="preserve"> Ес &lt; 0;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Ет &lt; 0;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</w:t>
      </w:r>
      <w:r>
        <w:rPr>
          <w:b w:val="0"/>
          <w:bCs w:val="0"/>
          <w:sz w:val="26"/>
          <w:szCs w:val="26"/>
        </w:rPr>
        <w:sym w:font="Symbol" w:char="F0B1"/>
      </w:r>
      <w:r>
        <w:rPr>
          <w:b w:val="0"/>
          <w:bCs w:val="0"/>
          <w:sz w:val="26"/>
          <w:szCs w:val="26"/>
        </w:rPr>
        <w:t xml:space="preserve"> Е </w:t>
      </w:r>
      <w:r>
        <w:rPr>
          <w:b w:val="0"/>
          <w:bCs w:val="0"/>
          <w:sz w:val="26"/>
          <w:szCs w:val="26"/>
        </w:rPr>
        <w:sym w:font="Symbol" w:char="F0B3"/>
      </w:r>
      <w:r>
        <w:rPr>
          <w:b w:val="0"/>
          <w:bCs w:val="0"/>
          <w:sz w:val="26"/>
          <w:szCs w:val="26"/>
        </w:rPr>
        <w:t xml:space="preserve"> 0.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Трехмерный показатель </w:t>
      </w:r>
      <w:r>
        <w:rPr>
          <w:b w:val="0"/>
          <w:bCs w:val="0"/>
          <w:sz w:val="26"/>
          <w:szCs w:val="26"/>
          <w:lang w:val="en-US"/>
        </w:rPr>
        <w:t>S</w:t>
      </w:r>
      <w:r>
        <w:rPr>
          <w:b w:val="0"/>
          <w:bCs w:val="0"/>
          <w:sz w:val="26"/>
          <w:szCs w:val="26"/>
        </w:rPr>
        <w:t xml:space="preserve"> = (0; 0; 1).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Неустойчивое финансовое состояние характеризуется нарушением платежеспо-собности: предприятие вынуждено привлекать дополнительные источники покрытия запасов и затрат, наблюдается снижение доходности производства. Тем не менее, еще имеются возможности для улучшения ситуации.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>4. Кризисное (критическое) финансовое состояние</w:t>
      </w:r>
      <w:r>
        <w:rPr>
          <w:b w:val="0"/>
          <w:bCs w:val="0"/>
          <w:sz w:val="26"/>
          <w:szCs w:val="26"/>
        </w:rPr>
        <w:t>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Определяется условиями:</w:t>
      </w:r>
    </w:p>
    <w:p w:rsidR="00A72770" w:rsidRDefault="00A40E0C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noProof/>
        </w:rPr>
        <w:pict>
          <v:shape id="_x0000_s1030" type="#_x0000_t87" style="position:absolute;margin-left:142.15pt;margin-top:1.7pt;width:12pt;height:43.65pt;z-index:251659776" o:allowincell="f"/>
        </w:pict>
      </w:r>
      <w:r w:rsidR="00A72770">
        <w:rPr>
          <w:b w:val="0"/>
          <w:bCs w:val="0"/>
          <w:sz w:val="26"/>
          <w:szCs w:val="26"/>
          <w:lang w:val="en-US"/>
        </w:rPr>
        <w:t xml:space="preserve">                                                   </w:t>
      </w:r>
      <w:r w:rsidR="00A72770">
        <w:rPr>
          <w:b w:val="0"/>
          <w:bCs w:val="0"/>
          <w:sz w:val="26"/>
          <w:szCs w:val="26"/>
          <w:lang w:val="en-US"/>
        </w:rPr>
        <w:sym w:font="Symbol" w:char="F0B1"/>
      </w:r>
      <w:r w:rsidR="00A72770">
        <w:rPr>
          <w:b w:val="0"/>
          <w:bCs w:val="0"/>
          <w:sz w:val="26"/>
          <w:szCs w:val="26"/>
          <w:lang w:val="en-US"/>
        </w:rPr>
        <w:t xml:space="preserve"> Ес &lt; 0;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Ет &lt; 0;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</w:t>
      </w:r>
      <w:r>
        <w:rPr>
          <w:b w:val="0"/>
          <w:bCs w:val="0"/>
          <w:sz w:val="26"/>
          <w:szCs w:val="26"/>
          <w:lang w:val="en-US"/>
        </w:rPr>
        <w:sym w:font="Symbol" w:char="F0B1"/>
      </w:r>
      <w:r>
        <w:rPr>
          <w:b w:val="0"/>
          <w:bCs w:val="0"/>
          <w:sz w:val="26"/>
          <w:szCs w:val="26"/>
          <w:lang w:val="en-US"/>
        </w:rPr>
        <w:t xml:space="preserve"> Е &lt; 0.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Трехмерный показатель </w:t>
      </w:r>
      <w:r>
        <w:rPr>
          <w:b w:val="0"/>
          <w:bCs w:val="0"/>
          <w:sz w:val="26"/>
          <w:szCs w:val="26"/>
          <w:lang w:val="en-US"/>
        </w:rPr>
        <w:t>S</w:t>
      </w:r>
      <w:r>
        <w:rPr>
          <w:b w:val="0"/>
          <w:bCs w:val="0"/>
          <w:sz w:val="26"/>
          <w:szCs w:val="26"/>
        </w:rPr>
        <w:t xml:space="preserve"> = (0; 0; 0).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Кризисное финансовое положение – это грань банкротства: наличие просрочен-ных кредиторской и дебиторской задолженностей и неспособность погасить их в срок. В рыночной экономике при неоднократном повторении такого положения пред-приятию грозит объявление банкротства.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                                                                                                    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                                                                   </w:t>
      </w:r>
      <w:r>
        <w:rPr>
          <w:b w:val="0"/>
          <w:bCs w:val="0"/>
          <w:sz w:val="26"/>
          <w:szCs w:val="26"/>
        </w:rPr>
        <w:t>Таблица 4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Типы </w:t>
      </w:r>
      <w:r>
        <w:rPr>
          <w:b w:val="0"/>
          <w:bCs w:val="0"/>
          <w:sz w:val="26"/>
          <w:szCs w:val="26"/>
        </w:rPr>
        <w:t>финансовой устойчивости предприятия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2745"/>
        <w:gridCol w:w="2463"/>
      </w:tblGrid>
      <w:tr w:rsidR="00A72770">
        <w:tc>
          <w:tcPr>
            <w:tcW w:w="2977" w:type="dxa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Типы финансовой устойчивости</w:t>
            </w:r>
          </w:p>
        </w:tc>
        <w:tc>
          <w:tcPr>
            <w:tcW w:w="1701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Трехмерный показатель</w:t>
            </w:r>
          </w:p>
        </w:tc>
        <w:tc>
          <w:tcPr>
            <w:tcW w:w="2745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Используемые источ-ники покрытия затрат</w:t>
            </w:r>
          </w:p>
        </w:tc>
        <w:tc>
          <w:tcPr>
            <w:tcW w:w="2463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Краткая характеристика</w:t>
            </w:r>
          </w:p>
        </w:tc>
      </w:tr>
      <w:tr w:rsidR="00A72770">
        <w:tc>
          <w:tcPr>
            <w:tcW w:w="2977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 Абсолютная финансовая устойчивость</w:t>
            </w:r>
          </w:p>
        </w:tc>
        <w:tc>
          <w:tcPr>
            <w:tcW w:w="1701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S = (1; 1; 1)</w:t>
            </w:r>
          </w:p>
        </w:tc>
        <w:tc>
          <w:tcPr>
            <w:tcW w:w="2745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Собственные оборотные средства</w:t>
            </w:r>
          </w:p>
        </w:tc>
        <w:tc>
          <w:tcPr>
            <w:tcW w:w="246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Высокая платеже-споспособность; предприятие не за-висит от кредито-ров</w:t>
            </w:r>
          </w:p>
        </w:tc>
      </w:tr>
      <w:tr w:rsidR="00A72770">
        <w:tc>
          <w:tcPr>
            <w:tcW w:w="2977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 Нормальная финансовая устойчивость</w:t>
            </w:r>
          </w:p>
        </w:tc>
        <w:tc>
          <w:tcPr>
            <w:tcW w:w="1701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S = (0; 1; 1)</w:t>
            </w:r>
          </w:p>
        </w:tc>
        <w:tc>
          <w:tcPr>
            <w:tcW w:w="2745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Собственные оборотные средства и долгосрочные кредиты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Нормальная плате-жеспособность; эф-фективное исполь-зование заемных средств; высокая  </w:t>
            </w:r>
          </w:p>
        </w:tc>
      </w:tr>
      <w:tr w:rsidR="00A72770">
        <w:trPr>
          <w:cantSplit/>
        </w:trPr>
        <w:tc>
          <w:tcPr>
            <w:tcW w:w="98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                           Продолжение табл. 4</w:t>
            </w:r>
          </w:p>
        </w:tc>
      </w:tr>
      <w:tr w:rsidR="00A72770">
        <w:tc>
          <w:tcPr>
            <w:tcW w:w="2977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Типы финансовой устойчивости</w:t>
            </w:r>
          </w:p>
        </w:tc>
        <w:tc>
          <w:tcPr>
            <w:tcW w:w="1701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Трехмерный показатель</w:t>
            </w:r>
          </w:p>
        </w:tc>
        <w:tc>
          <w:tcPr>
            <w:tcW w:w="2745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Используемые источ-ники покрытия затрат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Краткая характеристика</w:t>
            </w:r>
          </w:p>
        </w:tc>
      </w:tr>
      <w:tr w:rsidR="00A72770">
        <w:tc>
          <w:tcPr>
            <w:tcW w:w="2977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745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доходность произ-водственной деятельности</w:t>
            </w:r>
          </w:p>
        </w:tc>
      </w:tr>
      <w:tr w:rsidR="00A72770">
        <w:tc>
          <w:tcPr>
            <w:tcW w:w="2977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Неустойчивое финансовое состояние</w:t>
            </w:r>
          </w:p>
        </w:tc>
        <w:tc>
          <w:tcPr>
            <w:tcW w:w="1701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S = (0; 0; 1)</w:t>
            </w:r>
          </w:p>
        </w:tc>
        <w:tc>
          <w:tcPr>
            <w:tcW w:w="2745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Собственные оборотные средства, долгосрочные и краткосрочные кредиты и займы</w:t>
            </w:r>
          </w:p>
        </w:tc>
        <w:tc>
          <w:tcPr>
            <w:tcW w:w="246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Нарушение плате-жеспособности; не-обходимость прив-лечения дополни-тельных источни-ков; возможность улучшения ситуа-ции</w:t>
            </w:r>
          </w:p>
        </w:tc>
      </w:tr>
      <w:tr w:rsidR="00A72770">
        <w:trPr>
          <w:trHeight w:val="90"/>
        </w:trPr>
        <w:tc>
          <w:tcPr>
            <w:tcW w:w="2977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Кризисное финансовое состояние</w:t>
            </w:r>
          </w:p>
        </w:tc>
        <w:tc>
          <w:tcPr>
            <w:tcW w:w="1701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S</w:t>
            </w:r>
            <w:r>
              <w:rPr>
                <w:b w:val="0"/>
                <w:bCs w:val="0"/>
                <w:sz w:val="26"/>
                <w:szCs w:val="26"/>
              </w:rPr>
              <w:t xml:space="preserve"> = (0; 0; 0)</w:t>
            </w:r>
          </w:p>
        </w:tc>
        <w:tc>
          <w:tcPr>
            <w:tcW w:w="2745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Неплатежеспособность предприятия; грань банкротства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Для характеристики источников формирования запасов и затрат используются несколько показателей, отражающих различную степень охвата разных видов источ-ников. Данные показатели представлены в следующей таблице: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Таблица 5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843"/>
        <w:gridCol w:w="1559"/>
        <w:gridCol w:w="1417"/>
        <w:gridCol w:w="1239"/>
      </w:tblGrid>
      <w:tr w:rsidR="00A72770">
        <w:trPr>
          <w:cantSplit/>
          <w:trHeight w:val="280"/>
        </w:trPr>
        <w:tc>
          <w:tcPr>
            <w:tcW w:w="3794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843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начало года</w:t>
            </w:r>
          </w:p>
        </w:tc>
        <w:tc>
          <w:tcPr>
            <w:tcW w:w="1559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 (+/-)</w:t>
            </w:r>
          </w:p>
        </w:tc>
      </w:tr>
      <w:tr w:rsidR="00A72770">
        <w:trPr>
          <w:cantSplit/>
          <w:trHeight w:val="260"/>
        </w:trPr>
        <w:tc>
          <w:tcPr>
            <w:tcW w:w="379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843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 руб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 %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 Источники собственных средств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102,62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109,72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+7,1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+6,9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 Основные средства и вложения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21,70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22,35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+0,65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+3,0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Долгосрочные кредиты и займы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Краткосрочные кредиты и займы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88,08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77,07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-11,01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-12,5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 Наличие собственных средств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379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 Наличие собственных средств и долгосрочных заемных источников для формирования запасов и затрат</w:t>
            </w:r>
          </w:p>
        </w:tc>
        <w:tc>
          <w:tcPr>
            <w:tcW w:w="184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1559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3794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 Общая величина основных источников средств для формирования запасов и затрат</w:t>
            </w:r>
          </w:p>
        </w:tc>
        <w:tc>
          <w:tcPr>
            <w:tcW w:w="184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169,00</w:t>
            </w:r>
          </w:p>
        </w:tc>
        <w:tc>
          <w:tcPr>
            <w:tcW w:w="1559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164,44</w:t>
            </w:r>
          </w:p>
        </w:tc>
        <w:tc>
          <w:tcPr>
            <w:tcW w:w="1417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-4,56</w:t>
            </w:r>
          </w:p>
        </w:tc>
        <w:tc>
          <w:tcPr>
            <w:tcW w:w="1239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-2,7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 основе этих трех показателей, характеризующих наличие источников, кото-рые формируют запасы и затраты для производственной деятельности, рассчитыва-ются величины, дающие оценку размера (достаточности) источников для покрытия запасов и затрат: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Таблица 6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276"/>
        <w:gridCol w:w="992"/>
        <w:gridCol w:w="1417"/>
        <w:gridCol w:w="1239"/>
      </w:tblGrid>
      <w:tr w:rsidR="00A72770">
        <w:trPr>
          <w:cantSplit/>
          <w:trHeight w:val="320"/>
        </w:trPr>
        <w:tc>
          <w:tcPr>
            <w:tcW w:w="4928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начало года</w:t>
            </w:r>
          </w:p>
        </w:tc>
        <w:tc>
          <w:tcPr>
            <w:tcW w:w="992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 (+/-)</w:t>
            </w:r>
          </w:p>
        </w:tc>
      </w:tr>
      <w:tr w:rsidR="00A72770">
        <w:trPr>
          <w:cantSplit/>
          <w:trHeight w:val="220"/>
        </w:trPr>
        <w:tc>
          <w:tcPr>
            <w:tcW w:w="4928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 руб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 %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 Наличие собственных средств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 Наличие собственных средств и долго-срочных заемных источников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Общая величина основных источников средств для формирования запасов и затрат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169,00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164,44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-4,56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-2,7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Запасы и затраты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131,37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85,00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-46,37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-35,3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 Излишек или недостаток собственных оборотных средств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-50,45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+48,08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+95,3</w:t>
            </w:r>
          </w:p>
        </w:tc>
      </w:tr>
      <w:tr w:rsidR="00A72770">
        <w:tc>
          <w:tcPr>
            <w:tcW w:w="4928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 Излишек или недостаток собственных оборотных средств и долгосрочных заемных источников для формирования запасов и затрат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-50,45</w:t>
            </w:r>
          </w:p>
        </w:tc>
        <w:tc>
          <w:tcPr>
            <w:tcW w:w="992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-2,37</w:t>
            </w:r>
          </w:p>
        </w:tc>
        <w:tc>
          <w:tcPr>
            <w:tcW w:w="1417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+48,08</w:t>
            </w:r>
          </w:p>
        </w:tc>
        <w:tc>
          <w:tcPr>
            <w:tcW w:w="1239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+95,3</w:t>
            </w:r>
          </w:p>
        </w:tc>
      </w:tr>
      <w:tr w:rsidR="00A72770">
        <w:tc>
          <w:tcPr>
            <w:tcW w:w="4928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 Излишек или недостаток общей величины основных источников для формирования запасов и затрат</w:t>
            </w:r>
          </w:p>
        </w:tc>
        <w:tc>
          <w:tcPr>
            <w:tcW w:w="1276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+37,63</w:t>
            </w:r>
          </w:p>
        </w:tc>
        <w:tc>
          <w:tcPr>
            <w:tcW w:w="992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+79,44</w:t>
            </w:r>
          </w:p>
        </w:tc>
        <w:tc>
          <w:tcPr>
            <w:tcW w:w="1417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+41,81</w:t>
            </w:r>
          </w:p>
        </w:tc>
        <w:tc>
          <w:tcPr>
            <w:tcW w:w="1239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+111,1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Показатели обеспеченности запасов и затрат источниками их формирования яв-ляются базой для классификации финансового состояния предприятия по степени ус-тойчивости.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Абсолютная и нормальная устойчивость финансового состояния характеризу-ется высоким уровнем рентабельности предприятия и отсутствием нарушений финан-совой дисциплины.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Неустойчивое финансовое состояние характеризуется наличием нарушений финансовой дисциплины, перебоями в поступлении денежных средств на расчетный счет, снижением доходности деятельности предприятия.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Кризисное финансовое состояние характеризуется, кроме указанных признаков неустойчивого финансового состояния, наличием регулярных неплатежей (просро-ченных ссуд банков, просроченной задолженности поставщикам, наличием недоимок в бюджеты).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Для углубленного исследования финансовой устойчивости привлекаются дан-ные формы №5 и учетных регистров. На основании этих источников информации ус-танавливаются суммы неплатежей и их причины.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Тип финансовой устойчивости определяется с помощью трехкомпонентного показателя. По данным наших расчетов трехмерный показатель принимает как в нача-ле года, так и в конце следующий вид: </w:t>
      </w:r>
      <w:r>
        <w:rPr>
          <w:b w:val="0"/>
          <w:bCs w:val="0"/>
          <w:sz w:val="26"/>
          <w:szCs w:val="26"/>
          <w:lang w:val="en-US"/>
        </w:rPr>
        <w:t xml:space="preserve">S = </w:t>
      </w:r>
      <w:r>
        <w:rPr>
          <w:b w:val="0"/>
          <w:bCs w:val="0"/>
          <w:sz w:val="26"/>
          <w:szCs w:val="26"/>
        </w:rPr>
        <w:t>(0; 0; 1), т.е. как на начало отчетного пе-риода, так и на конец года предприятие имеет неустойчивое финансовое состояние. Оно характеризуется нарушением платежеспособности, необходимостью привлече-ния дополнительных источников покрытия, т.е. ситуацию можно улучшить.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Из-за отсутствия у предприятия долгосрочных кредитов и займов второй эле-мент трехкомпонентного показателя равен нулю, т.е. для покрытия запасов и затрат одних собственных средств недостаточно. Уменьшение недостатка собственных средств для формирования запасов и затрат к концу года произошло не из-за их уве-личения (оно довольно незначительно), а из-за резкого снижения величины запасов и затрат (на 46,37 руб. или на 35,3%).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Третий элемент трехкомпонентного показателя равен единице, т.к. кроме соб-ственных оборотных средств у предприятия есть краткосрочные пассивы, поэтому имеем излишек общей величины основных источников для формирования запасов и затрат. Кроме того, к концу отчетного периода он увеличился на 111,1%.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Таким образом, предприятию следует использовать как краткосрочные креди-ты и займы, так и долгосрочные пассивы, а также не допускать необоснованного уве-личения величины запасов и затрат.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ab/>
        <w:t xml:space="preserve">4.3. Расчет относительных показателей финансовой устойчивости   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Финансовая устойчивость предприятия характеризуется состоянием собствен-ных и заемных средств и анализируется с помощью системы финансовых коэффици-ентов. Информационной базой для расчета таких коэффициентов являются абсолют-ные показатели актива и пассива бухгалтерского баланса, а также абсолютные пока-затели финансовой устойчивости.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Анализ проводится посредством расчета и сравнения полученных значений коэффициентов с установленными базисными величинами, а также изучения динами-ки их изменений за определенный период.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Базисными величинами могут быть: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значения показателей за прошлый период;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среднеотраслевые значения показателей;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значения показателей конкурентов;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теоретически обоснованные или установленные с помощью экспертного оп-роса оптимальные или критические значения относительных показателей.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Оценка финансовой устойчивости предприятия проводится с помощью доста-точно большого количества относительных финансовых коэффициентов.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Расчет и анализ относительных коэффициентов (показателей) существенно до-полняет оценку абсолютных показателей финансовой устойчивости предприятия.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Перечень коэффициентов финансовой устойчивости приведен в таблице 7.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Надо заметить, что оценка финансовой устойчивости тесно связана с оценкой плате-жеспособности, т.к. финансовая устойчивость представляет собой такое финансовое и экономическое состояние предприятия, при котором платежеспособность сохраняет устойчивую тенденцию, т.е. постоянна во времени.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Таблица 7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                                                       Финансовые коэффициенты, 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применяемые для оценки финансовой устойчивости предприятия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268"/>
        <w:gridCol w:w="2268"/>
        <w:gridCol w:w="3223"/>
      </w:tblGrid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Коэффициент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Что показывает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Как рассчитывается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Комментарий</w:t>
            </w:r>
          </w:p>
        </w:tc>
      </w:tr>
      <w:tr w:rsidR="00A72770">
        <w:tc>
          <w:tcPr>
            <w:tcW w:w="2093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 Коэффициент автономии</w:t>
            </w:r>
          </w:p>
        </w:tc>
        <w:tc>
          <w:tcPr>
            <w:tcW w:w="2268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Характеризует независимость от заемных средств.</w:t>
            </w:r>
          </w:p>
        </w:tc>
        <w:tc>
          <w:tcPr>
            <w:tcW w:w="2268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Ка = Ис / В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Отношение общей суммы </w:t>
            </w:r>
          </w:p>
        </w:tc>
        <w:tc>
          <w:tcPr>
            <w:tcW w:w="322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Минимальное пороговое значение на уровне 0.5. Превышение указывает на </w:t>
            </w:r>
          </w:p>
        </w:tc>
      </w:tr>
      <w:tr w:rsidR="00A72770">
        <w:trPr>
          <w:cantSplit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                            Продолжение табл.7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Коэффициент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Что показывает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Как рассчитывается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Комментарий</w:t>
            </w: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Показывает долю собственных средств в общей сумме всех средств пред-приятия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всех средств предприятия к источниками собственных средств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Увеличение финансовой независимости; расширение возможности привлечения средств со стороны</w:t>
            </w: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2. Коэффициент соотношения заемных и собственных средств 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Сколько заемных средств привлек-ло предприятие на 1 р. вложенных в активы собст-венных средств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Кз/с =          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= (Кт + К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t</w:t>
            </w:r>
            <w:r>
              <w:rPr>
                <w:b w:val="0"/>
                <w:bCs w:val="0"/>
                <w:sz w:val="26"/>
                <w:szCs w:val="26"/>
              </w:rPr>
              <w:t>)/Ис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Отношение всех обязательств к собственным средствам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Кз/с &lt; 0.7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Превышение указанной границы означает зависи-мость предприятия от внешних источников средств, потерю финан-совой устойчивости</w:t>
            </w: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Коэффициент обеспеченности собственными средствами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Наличие у пред-приятия собствен-ных оборотных средств, необхо-димых для его финансовой ус-тойчивости. Кри-терий для опре-деления непла-тежеспособности (банкротства) фирм 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Ко = Ес /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Ra</w:t>
            </w:r>
            <w:r>
              <w:rPr>
                <w:b w:val="0"/>
                <w:bCs w:val="0"/>
                <w:sz w:val="26"/>
                <w:szCs w:val="26"/>
              </w:rPr>
              <w:t xml:space="preserve"> =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</w:rPr>
              <w:t>= (Ис -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 F</w:t>
            </w:r>
            <w:r>
              <w:rPr>
                <w:b w:val="0"/>
                <w:bCs w:val="0"/>
                <w:sz w:val="26"/>
                <w:szCs w:val="26"/>
              </w:rPr>
              <w:t>)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 </w:t>
            </w:r>
            <w:r>
              <w:rPr>
                <w:b w:val="0"/>
                <w:bCs w:val="0"/>
                <w:sz w:val="26"/>
                <w:szCs w:val="26"/>
              </w:rPr>
              <w:t xml:space="preserve">/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Ra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Отношение собственных оборотных средств к общей величине оборотных средств предприятия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Ко </w:t>
            </w:r>
            <w:r>
              <w:rPr>
                <w:b w:val="0"/>
                <w:bCs w:val="0"/>
                <w:sz w:val="26"/>
                <w:szCs w:val="26"/>
              </w:rPr>
              <w:sym w:font="Symbol" w:char="F0B3"/>
            </w:r>
            <w:r>
              <w:rPr>
                <w:b w:val="0"/>
                <w:bCs w:val="0"/>
                <w:sz w:val="26"/>
                <w:szCs w:val="26"/>
              </w:rPr>
              <w:t xml:space="preserve"> 0.1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Чем выше показатель (0.5), тем лучше финансовое состояние предприятия, тем больше у него возможностей проведения независимой финансовой политики</w:t>
            </w: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Коэффициент маневренности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Способность предприятия под-держивать уро-вень собственного оборотного капи-тала и пополнять  оборотные сред-ства за счет соб-ственных источ-ников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Км = Ес / Ис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Отношение собст-венных оборот-ных средств к общей величине собственных средств (собст-венного капитала) предприятия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0.2 – 0.5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Чем ближе значение пока-зателя к верхней границе, тем больше возможность финансового маневра у предприятия</w:t>
            </w:r>
          </w:p>
        </w:tc>
      </w:tr>
      <w:tr w:rsidR="00A72770">
        <w:tc>
          <w:tcPr>
            <w:tcW w:w="2093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5. Коэффициент соотношения мобильных и иммобилизован-ных средств 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Сколько внеобо-ротных средств приходится на 1 руб. оборотных активов</w:t>
            </w:r>
          </w:p>
        </w:tc>
        <w:tc>
          <w:tcPr>
            <w:tcW w:w="2268" w:type="dxa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Км/и =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Ra</w:t>
            </w:r>
            <w:r>
              <w:rPr>
                <w:b w:val="0"/>
                <w:bCs w:val="0"/>
                <w:sz w:val="26"/>
                <w:szCs w:val="26"/>
              </w:rPr>
              <w:t xml:space="preserve"> /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F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Отношение обо-ротных средств к внеоборотным активам</w:t>
            </w:r>
          </w:p>
        </w:tc>
        <w:tc>
          <w:tcPr>
            <w:tcW w:w="3223" w:type="dxa"/>
            <w:tcBorders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Чем выше значение показателя, тем больше средств предприятие вкладывает в оборотные активы</w:t>
            </w:r>
          </w:p>
        </w:tc>
      </w:tr>
      <w:tr w:rsidR="00A72770">
        <w:tc>
          <w:tcPr>
            <w:tcW w:w="2093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 Коэффициент имущества про-изводственного назначения</w:t>
            </w:r>
          </w:p>
        </w:tc>
        <w:tc>
          <w:tcPr>
            <w:tcW w:w="2268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Долю имущества производственного назначения в общей стоимости </w:t>
            </w:r>
          </w:p>
        </w:tc>
        <w:tc>
          <w:tcPr>
            <w:tcW w:w="2268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Кп.им =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= (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Z</w:t>
            </w:r>
            <w:r>
              <w:rPr>
                <w:b w:val="0"/>
                <w:bCs w:val="0"/>
                <w:sz w:val="26"/>
                <w:szCs w:val="26"/>
              </w:rPr>
              <w:t xml:space="preserve"> +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F</w:t>
            </w:r>
            <w:r>
              <w:rPr>
                <w:b w:val="0"/>
                <w:bCs w:val="0"/>
                <w:sz w:val="26"/>
                <w:szCs w:val="26"/>
              </w:rPr>
              <w:t>) / В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Отношение сум-мы внеоборотных </w:t>
            </w:r>
          </w:p>
        </w:tc>
        <w:tc>
          <w:tcPr>
            <w:tcW w:w="3223" w:type="dxa"/>
            <w:tcBorders>
              <w:top w:val="nil"/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Кп.им </w:t>
            </w:r>
            <w:r>
              <w:rPr>
                <w:b w:val="0"/>
                <w:bCs w:val="0"/>
                <w:sz w:val="26"/>
                <w:szCs w:val="26"/>
              </w:rPr>
              <w:sym w:font="Symbol" w:char="F0B3"/>
            </w:r>
            <w:r>
              <w:rPr>
                <w:b w:val="0"/>
                <w:bCs w:val="0"/>
                <w:sz w:val="26"/>
                <w:szCs w:val="26"/>
              </w:rPr>
              <w:t xml:space="preserve"> 0.5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При снижении показателя ниже рекомендуемой границы целесообразно 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  <w:lang w:val="en-US"/>
        </w:rPr>
        <w:t xml:space="preserve">  </w:t>
      </w: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Продолжение табл. 7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A72770">
        <w:tc>
          <w:tcPr>
            <w:tcW w:w="2463" w:type="dxa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Коэффициент</w:t>
            </w:r>
          </w:p>
        </w:tc>
        <w:tc>
          <w:tcPr>
            <w:tcW w:w="246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Что показывает</w:t>
            </w:r>
          </w:p>
        </w:tc>
        <w:tc>
          <w:tcPr>
            <w:tcW w:w="246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Как рассчитывается</w:t>
            </w:r>
          </w:p>
        </w:tc>
        <w:tc>
          <w:tcPr>
            <w:tcW w:w="2463" w:type="dxa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Комментарий</w:t>
            </w:r>
          </w:p>
        </w:tc>
      </w:tr>
      <w:tr w:rsidR="00A72770">
        <w:tc>
          <w:tcPr>
            <w:tcW w:w="2463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2463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Всех средств предприятия</w:t>
            </w:r>
          </w:p>
        </w:tc>
        <w:tc>
          <w:tcPr>
            <w:tcW w:w="2463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>активов и производственных запасов к итогу баланса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привлечение дол-госрочных заемных средств для увели-чения имущества производственного назначения</w:t>
            </w:r>
          </w:p>
        </w:tc>
      </w:tr>
      <w:tr w:rsidR="00A72770">
        <w:tc>
          <w:tcPr>
            <w:tcW w:w="2463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 Коэффициент прогноза банкротства</w:t>
            </w:r>
          </w:p>
        </w:tc>
        <w:tc>
          <w:tcPr>
            <w:tcW w:w="2463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Доля чистых оборотных активов в стоимости всех средств предприятия</w:t>
            </w:r>
          </w:p>
        </w:tc>
        <w:tc>
          <w:tcPr>
            <w:tcW w:w="2463" w:type="dxa"/>
            <w:tcBorders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  </w:t>
            </w:r>
            <w:r>
              <w:rPr>
                <w:b w:val="0"/>
                <w:bCs w:val="0"/>
                <w:sz w:val="26"/>
                <w:szCs w:val="26"/>
              </w:rPr>
              <w:t>Кпб = (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 xml:space="preserve">Ra </w:t>
            </w:r>
            <w:r>
              <w:rPr>
                <w:b w:val="0"/>
                <w:bCs w:val="0"/>
                <w:sz w:val="26"/>
                <w:szCs w:val="26"/>
              </w:rPr>
              <w:t xml:space="preserve">– </w:t>
            </w:r>
            <w:r>
              <w:rPr>
                <w:b w:val="0"/>
                <w:bCs w:val="0"/>
                <w:sz w:val="26"/>
                <w:szCs w:val="26"/>
                <w:lang w:val="en-US"/>
              </w:rPr>
              <w:t>Kt</w:t>
            </w:r>
            <w:r>
              <w:rPr>
                <w:b w:val="0"/>
                <w:bCs w:val="0"/>
                <w:sz w:val="26"/>
                <w:szCs w:val="26"/>
              </w:rPr>
              <w:t>) / В</w:t>
            </w:r>
          </w:p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Отношение разности оборотных средств и краткосрочных пас-сивов к итогу баланса</w:t>
            </w:r>
          </w:p>
        </w:tc>
        <w:tc>
          <w:tcPr>
            <w:tcW w:w="2463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  <w:lang w:val="en-US"/>
              </w:rPr>
            </w:pPr>
            <w:r>
              <w:rPr>
                <w:b w:val="0"/>
                <w:bCs w:val="0"/>
                <w:sz w:val="26"/>
                <w:szCs w:val="26"/>
              </w:rPr>
              <w:t>Снижение показателя свидетельствует о том, что предприя-тие испытывает финансовые затруд-нения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 условиях рыночной экономики важное значение приобретает финансовая не-зависимость предприятия от внешних заемных источников. Запас источников собст-венных средств – это запас финансовой устойчивости предприятия при условии, что его собственные средства превышают заемные.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Финансовая устойчивость оценивается по соотношению собственных и заем-ных средств, по темпам накопления собственных средств в результате текущей и фи-нансовой деятельности, соотношению мобильных и иммобилизованных средств пред-приятия, достаточным обеспечением материальных оборотных средств собственными источниками и рядом других показателей.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                                                                                                                         Таблица 8</w:t>
      </w: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276"/>
        <w:gridCol w:w="1276"/>
        <w:gridCol w:w="1393"/>
        <w:gridCol w:w="7"/>
        <w:gridCol w:w="1256"/>
      </w:tblGrid>
      <w:tr w:rsidR="00A72770">
        <w:trPr>
          <w:cantSplit/>
          <w:trHeight w:val="300"/>
        </w:trPr>
        <w:tc>
          <w:tcPr>
            <w:tcW w:w="4644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начало года</w:t>
            </w:r>
          </w:p>
        </w:tc>
        <w:tc>
          <w:tcPr>
            <w:tcW w:w="1276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3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 (+/-)</w:t>
            </w:r>
          </w:p>
        </w:tc>
      </w:tr>
      <w:tr w:rsidR="00A72770">
        <w:trPr>
          <w:cantSplit/>
          <w:trHeight w:val="240"/>
        </w:trPr>
        <w:tc>
          <w:tcPr>
            <w:tcW w:w="464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 руб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 %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1. Капитал и резервы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102,62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109,72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+7,1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+6,9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2. Заемные средства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88,08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77,07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-11,01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-12,5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3. Оборотные активы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169,0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164,44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-4,56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-2,7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4. Внеоборотные активы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21,7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22,35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+0,65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+3,0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5. Собственные оборотные средства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80,92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87,37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+6,45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+8,0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6. Долгосрочные пассивы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7.Сумма основных средств, сырья и материалов, НЗП, МБП (производст-венный потенциал)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151,83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105,37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-46,46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-30,6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8. Стоимость активов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190,7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186,79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-3,91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-2,1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9. Убытки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10. Коэффициент соотношения заемных и собственных средств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0,86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0,7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-0,16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-18,6</w:t>
            </w:r>
          </w:p>
        </w:tc>
      </w:tr>
      <w:tr w:rsidR="00A72770">
        <w:tc>
          <w:tcPr>
            <w:tcW w:w="4644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11. Коэффициент маневренности собственных средств</w:t>
            </w:r>
          </w:p>
        </w:tc>
        <w:tc>
          <w:tcPr>
            <w:tcW w:w="1276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0,788</w:t>
            </w:r>
          </w:p>
        </w:tc>
        <w:tc>
          <w:tcPr>
            <w:tcW w:w="1276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0,796</w:t>
            </w:r>
          </w:p>
        </w:tc>
        <w:tc>
          <w:tcPr>
            <w:tcW w:w="139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+0,008</w:t>
            </w:r>
          </w:p>
        </w:tc>
        <w:tc>
          <w:tcPr>
            <w:tcW w:w="1263" w:type="dxa"/>
            <w:gridSpan w:val="2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+0,01</w:t>
            </w:r>
          </w:p>
        </w:tc>
      </w:tr>
      <w:tr w:rsidR="00A72770">
        <w:trPr>
          <w:cantSplit/>
        </w:trPr>
        <w:tc>
          <w:tcPr>
            <w:tcW w:w="9852" w:type="dxa"/>
            <w:gridSpan w:val="6"/>
            <w:tcBorders>
              <w:top w:val="nil"/>
              <w:left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 xml:space="preserve">                                                                                                                Продолжение табл. 8</w:t>
            </w: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</w:tr>
      <w:tr w:rsidR="00A72770">
        <w:trPr>
          <w:cantSplit/>
          <w:trHeight w:val="220"/>
        </w:trPr>
        <w:tc>
          <w:tcPr>
            <w:tcW w:w="4644" w:type="dxa"/>
            <w:vMerge w:val="restart"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нача-ло года</w:t>
            </w:r>
          </w:p>
        </w:tc>
        <w:tc>
          <w:tcPr>
            <w:tcW w:w="1276" w:type="dxa"/>
            <w:vMerge w:val="restart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На конец года</w:t>
            </w:r>
          </w:p>
        </w:tc>
        <w:tc>
          <w:tcPr>
            <w:tcW w:w="2656" w:type="dxa"/>
            <w:gridSpan w:val="3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Отклонение (+/-)</w:t>
            </w:r>
          </w:p>
        </w:tc>
      </w:tr>
      <w:tr w:rsidR="00A72770">
        <w:trPr>
          <w:cantSplit/>
          <w:trHeight w:val="220"/>
        </w:trPr>
        <w:tc>
          <w:tcPr>
            <w:tcW w:w="464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абсолют.,</w:t>
            </w:r>
          </w:p>
        </w:tc>
        <w:tc>
          <w:tcPr>
            <w:tcW w:w="1256" w:type="dxa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относит.,</w:t>
            </w:r>
          </w:p>
        </w:tc>
      </w:tr>
      <w:tr w:rsidR="00A72770">
        <w:trPr>
          <w:cantSplit/>
          <w:trHeight w:val="420"/>
        </w:trPr>
        <w:tc>
          <w:tcPr>
            <w:tcW w:w="4644" w:type="dxa"/>
            <w:vMerge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1400" w:type="dxa"/>
            <w:gridSpan w:val="2"/>
            <w:tcBorders>
              <w:top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руб</w:t>
            </w:r>
          </w:p>
        </w:tc>
        <w:tc>
          <w:tcPr>
            <w:tcW w:w="1256" w:type="dxa"/>
            <w:tcBorders>
              <w:top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руб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12. Индекс постоянного актива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0,21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0,2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-0,01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-4,8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13. Коэффициент автономии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0,54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0,59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+0,05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+9,3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14. Коэффициент долгосрочного привлечения заемных средств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15. Коэффициент реальной стоимости имущества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0,56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-0,24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-30,0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16. Коэффициент соотношения мобильных и иммобилизованных средств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7,8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7,4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-0,4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-5,1</w:t>
            </w:r>
          </w:p>
        </w:tc>
      </w:tr>
      <w:tr w:rsidR="00A72770">
        <w:tc>
          <w:tcPr>
            <w:tcW w:w="4644" w:type="dxa"/>
            <w:tcBorders>
              <w:left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17. Коэффициент имущества производственного назначения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0,6</w:t>
            </w:r>
          </w:p>
        </w:tc>
        <w:tc>
          <w:tcPr>
            <w:tcW w:w="1393" w:type="dxa"/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-0,2</w:t>
            </w:r>
          </w:p>
        </w:tc>
        <w:tc>
          <w:tcPr>
            <w:tcW w:w="1263" w:type="dxa"/>
            <w:gridSpan w:val="2"/>
            <w:tcBorders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</w:p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-25,0</w:t>
            </w:r>
          </w:p>
        </w:tc>
      </w:tr>
      <w:tr w:rsidR="00A72770">
        <w:tc>
          <w:tcPr>
            <w:tcW w:w="4644" w:type="dxa"/>
            <w:tcBorders>
              <w:left w:val="nil"/>
              <w:bottom w:val="nil"/>
            </w:tcBorders>
          </w:tcPr>
          <w:p w:rsidR="00A72770" w:rsidRDefault="00A72770">
            <w:pPr>
              <w:pStyle w:val="21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18. Коэффициент прогноза банкротства</w:t>
            </w:r>
          </w:p>
        </w:tc>
        <w:tc>
          <w:tcPr>
            <w:tcW w:w="1276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0,42</w:t>
            </w:r>
          </w:p>
        </w:tc>
        <w:tc>
          <w:tcPr>
            <w:tcW w:w="1276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0,47</w:t>
            </w:r>
          </w:p>
        </w:tc>
        <w:tc>
          <w:tcPr>
            <w:tcW w:w="1393" w:type="dxa"/>
            <w:tcBorders>
              <w:bottom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+0,05</w:t>
            </w:r>
          </w:p>
        </w:tc>
        <w:tc>
          <w:tcPr>
            <w:tcW w:w="1263" w:type="dxa"/>
            <w:gridSpan w:val="2"/>
            <w:tcBorders>
              <w:bottom w:val="nil"/>
              <w:right w:val="nil"/>
            </w:tcBorders>
          </w:tcPr>
          <w:p w:rsidR="00A72770" w:rsidRDefault="00A72770">
            <w:pPr>
              <w:pStyle w:val="21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b w:val="0"/>
                <w:bCs w:val="0"/>
                <w:sz w:val="26"/>
                <w:szCs w:val="26"/>
              </w:rPr>
              <w:t>+11,9</w:t>
            </w:r>
          </w:p>
        </w:tc>
      </w:tr>
    </w:tbl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rPr>
          <w:b w:val="0"/>
          <w:bCs w:val="0"/>
          <w:sz w:val="26"/>
          <w:szCs w:val="26"/>
        </w:rPr>
      </w:pP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Коэффициент заемных и собственных средств указывает, сколько заемных средств привлекло на 1 руб. вложенных в активы собственных средств. За неимением долгосрочных кредитов и займов, в качестве заемных средств выступают краткосроч-ные пассивы. На конец отчетного периода предприятие привлекло 0,7 руб. заемных средств на 1 руб. вложенных в активы собственных средств, что на 0,16 руб. меньше, по сравнению с началом отчетного года.  При том, что нормальным считается сле-дующее ограничение: Кз/с &lt; 0,7, можно сделать вывод о том, что на начало отчетного периода предприятие было более зависимо от внешних финансовых источников, а к концу года оно улучшило свои позиции. Произошло это за счет одновременного сни-жения величины заемных источников на 11,01 руб. или 12,5% (в нашем случае – вели-чины краткосрочных пассивов) и роста собственных средств на 7,1 руб. или 6,9%.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Коэффициент маневренности собственных средств показывает, какая доля собственных средств предприятия находится в мобильной форме, позволяющей более или менее маневрировать этими средствами. Низкое значение этого коэффициента оз-начает, что значительная часть собственных средств предприятия закреплена в цен-ностях иммобилизованного характера, которые являются менее ликвидными.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С финансовой точки зрения повышение данного коэффициента и его высокий уровень всегда положительно характеризуют предприятие: собственные средства при этом мобильны, большая часть их вложена не в основные средства и иные внеоборот-ные активы, а в оборотные средства. Поэтому рост коэффициента маневренности соб-ственных средств желателен, но в тех пределах, в каких он возможен при конкретной структуре имущества предприятия. Если этот коэффициент не растет не за счет сни-жения стоимости основных средств, а благодаря опережающему росту собственных источников по сравнению с увеличением основных средств, то повышение коэффици-ента свидетельствует о повышении финансовой устойчивости предприятия.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Нормальным считается значение данного коэффициента, находящееся в сле-дующих пределах: 0,2-0,5. Расчеты показали, что уровень коэффициента маневрен-ности намного выше и составляет на конец отчетного периода 0,796, что немного вы-ше уровня на начало года (на 0,01%). Такой высокий уровень объясняется не сниже-нием стоимости основных средств, а, как и должно быть, опережающим ростом соб-ственных источников по сравнению с увеличением основных средств.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Коэффициент автономии показывает долю собственных средств в общей сумме всех средств предприятия, авансированных им для осуществления уставной деятель-ности. Увеличение коэффициента автономии говорит об увеличении финансовой не-зависимости, повышает гарантии погашения предприятием своих обязательств и рас-ширяет возможность привлечения средств со стороны.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Минимальное пороговое значение данного показателя  0,5. На рассматривае-мом предприятии на конец года коэффициент принял значение 0,59, что не только вы-ше минимально необходимого уровня, но и выше уровня на начало отчетного перио-да на 9,3%. Данное превышение указывает на увеличение независимости от заемных средств.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Коэффициент соотношения мобильных и иммобилизованных средств показы-вает, сколько внеоборотных средств приходится на 1 руб. оборотных активов. Чем выше значение показателя, тем больше средств предприятие вкладывает в оборотные активы.    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Наше предприятие в конце года несколько снизило вложения в оборотные ак-тивы (на 5,1%). Но, не смотря на это, уровень данного показателя довольно высок как на начало, так и на конец отчетного периода (соответственно 7,8 руб. и 7,4 руб.).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Важную характеристику структуры средств предприятия дает коэффициент имущества производственного назначения, который показывает долю имущества про-изводственного назначения в общей стоимости всех средств предприятия. В случае снижения значения показателя ниже критической границы (0,5) целесообразно прив-лечение долгосрочных заемных средств для увеличения имущества производственно-го назначения.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Произведенные расчеты показали, что на предприятии коэффициент имущест-ва производственного назначения находится на приемлемом уровне: на начало года – 0,8, на конец года – 0,6. При этом долгосрочных пассивов предприятие не имело как на начало, так и на конец отчетного периода. Следовательно, для предотвращения дальнейшего снижения уровня данного показателя предприятию можно посоветовать для приобретения имущества производственного назначения использовать долгосроч-ные кредиты и займы.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Для характеристики структуры источников средств предприятия наряду с коэф-фициентами автономии, соотношения заемных и собственных средств, маневреннос-ти следует использовать также частные показатели, отражающие разнообразные тен-денции в изменении структуры отдельных групп источников. К таким показателям в первую очередь относится коэффициент долгосрочного привлечения заемных средств, который позволяет приближенно оценить долю заемных средств при финан-сировании капитальных вложений.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Но, к сожалению, из-за отсутствия у предприятия долгосрочных пассивов оце-нить уровень данного коэффициента не представляется возможным.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Коэффициент прогноза банкротства на предприятии к концу отчетного периода увеличился на 11,9%. Данный коэффициент показывает долю чистых оборотных ак-тивов в стоимости всех средств предприятия. Снижение показателя свидетельствует о том, что предприятие испытывает финансовые затруднения. На рассматриваемом предприятии коэффициент прогноза банкротства увеличился к концу отчетного пе-риода, следовательно, финансовое состояние предприятия улучшилось.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По результатам проведенной практической работы можно сделать следующий вывод: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 по всем коэффициентам, характеризующим платежеспособность предприя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тия, наблюдается улучшение ситуации. На начало года предприятие платежеспособ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ным признано быть не может, т.к. уровень коэффициентов текущей ликвидности и обеспеченности собственными оборотными средствами (принятых в качестве офи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циальных критериев оценки платежеспособности) находится ниже минимально необ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ходимого уровня. Кроме этого, уровень промежуточного коэффициента ликвидности не удовлетворяет требуемому уровню как на начало, так и на конец отчетного перио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да, а уровень коэффициента абсолютной ликвидности входит в необходимый диапа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зон и в начале, и в конце года.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Однако, к концу года предприятие является платежеспособным, поскольку уровни важнейших коэффициентов платежеспособности – коэффициента текущей ликвидности и коэффициента обеспеченности собственными оборотными средствами – превышают минимально необходимые.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2. по трехкомпонентному показателю финансовое состояние предприятия приз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нается неустойчивым как на начало, так и на конец года. Однако, если изучать эту проблему более глубоко, то станет понятно, что предприятие к концу отчетного пе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риода укрепило свою финансовую устойчивость. К сожалению это произошло не из-за увеличения собственных оборотных средств, а из-за снижения величины запасов и затрат. Кроме того, предприятию необходимо использовать в своей деятельности дол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госрочные пассивы, т.к. их отсутствие повлияло на то, что второй элемент трехкомпо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нентного показателя равен нулю.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3. рассмотрение относительных показателей финансовой устойчивости (финан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совых коэффициентов) также свидетельствует о том, что предприятие улучшило свое финансовое положение. Даже если предприятие не обладало на начало отчетного пе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риода необходимым уровнем по какому-либо коэффициенту, то к концу года практи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>чески все показатели находятся на требуемом уровне.</w:t>
      </w:r>
    </w:p>
    <w:p w:rsidR="00A72770" w:rsidRDefault="00A72770">
      <w:pPr>
        <w:pStyle w:val="21"/>
        <w:ind w:firstLine="72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Таким образом, можно сказать, что предприятие на последнюю отчетную дату может быть признано платежеспособным и финансово устойчивым. Однако, ему не</w:t>
      </w:r>
      <w:r>
        <w:rPr>
          <w:b w:val="0"/>
          <w:bCs w:val="0"/>
          <w:sz w:val="26"/>
          <w:szCs w:val="26"/>
          <w:lang w:val="en-US"/>
        </w:rPr>
        <w:t>-</w:t>
      </w:r>
      <w:r>
        <w:rPr>
          <w:b w:val="0"/>
          <w:bCs w:val="0"/>
          <w:sz w:val="26"/>
          <w:szCs w:val="26"/>
        </w:rPr>
        <w:t xml:space="preserve">обходимо пересмотреть способы улучшения, укрепления финансового положения. </w:t>
      </w:r>
    </w:p>
    <w:p w:rsidR="00A72770" w:rsidRDefault="00A72770">
      <w:pPr>
        <w:pStyle w:val="21"/>
        <w:rPr>
          <w:b w:val="0"/>
          <w:bCs w:val="0"/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26"/>
          <w:szCs w:val="26"/>
          <w:lang w:val="en-US"/>
        </w:rPr>
      </w:pPr>
    </w:p>
    <w:p w:rsidR="00A72770" w:rsidRDefault="00A72770">
      <w:pPr>
        <w:rPr>
          <w:sz w:val="30"/>
          <w:szCs w:val="30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  <w:t xml:space="preserve">      </w:t>
      </w:r>
      <w:r>
        <w:rPr>
          <w:sz w:val="30"/>
          <w:szCs w:val="30"/>
        </w:rPr>
        <w:t>Заключение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pStyle w:val="a3"/>
        <w:spacing w:line="240" w:lineRule="auto"/>
      </w:pPr>
      <w:r>
        <w:tab/>
        <w:t xml:space="preserve">Расширение сферы внешнеэкономического и внешнеторгового сотрудничества  России с зарубежными странами, использование в этой сфере новых рычагов и стиму-лов рыночного характера ставит перед участниками международных отношений ряд проблем. Эти проблемы касаются поиска способов адаптации России к новым услови-ям международных отношений, путей создания выгодных обеим сторонам  форм ее сотрудничества с зарубежными странами, а также выработки рыночных форм контро-ля за коммерческой деятельностью зарубежных фирм на российской территории, за продвижением товаропотоков, денежных средств через границу РФ.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Одной из проблем международного экономического сотрудничества является выработка механизма налогового регулирования стоимостных результатов деятель-ности инофирм и предприятий с иностранными инвестициями в России, согласующе-гося с нормами международного права. Составной частью такого механизма является взимание налога на прибыль и доходы иностранных юридических лиц, а также пред-приятий с иностранными инвестициями.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Налоговый режим зависит от правового статуса иностранного плательщика на территории РФ. В настоящее время налогообложение стоимостных результатов  дея-тельности инофирм и предприятий с иностранными инвестициями регламентируется положениями Инструкции ГНС РФ от 16 июня 1995г. №34 ''О налогообложении прибыли и доходов иностранных юридических лиц''. Налогоплательщиками в России являются иностранные фирмы и граждане – нерезиденты, уплачивающие налог в двух случаях.  Во-первых, когда они извлекают доходы на нашей территории без образова-ния постоянного представительства, а во-вторых, когда они действуют через свое постоянное представительство. Некоторые нюансы имеет налоговый режим в отно-шении результатов от коммерческой деятельности, осуществляемой через посредни-ка. В этом случае налоговое бремя в России несет сам посредник.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Широкое распространение в России практики привлечения инофирм к строительным работам обусловило необходимость отразить в законе их отношения с налоговыми администрациями в России.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Постоянные представительства, через которые ведет свою деятельность ино-странная фирма, сами по себе не являются налогоплательщиками, поскольку они – не юридические лица. Однако руководители таких представительств несут полную от-ветственность по отчетности перед налоговыми органами за деятельность, осущест-вляемую самим иностранным юридическим лицом через постоянные представитель-ства. Иностранное юридическое лицо рассматривается как имеющее постоянное представительство в случае, если оно осуществляет предпринимательскую деятель-ность в РФ через российскую организацию или физическое лицо, которые на основа-нии договорных отношений с иностранным юридическим лицом представляют его интересы в РФ, действуют от его имени и имеют полномочия заключать контракты от имени данного юридического лица или оговаривать существенные условия контрак-тов. Непосредственным налогоплательщиком является сама иностранная компания, регистрирующая на территории РФ свое представительство. 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Термин '' постоянное представительство'' применяется только для определения налогвого статуса иностранного юридического лица и не имеет организационно-пра-вового значения. Дочерние компании инофирм рассматриваются как независимые юридические лица и, следовательно, являются самостоятельными налогоплательщи-ками.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При расчетах налогооблагаемой прибыли (дохода) постоянные представитель-ства иностранных юридических лиц, осуществляющих свою финансово-хозяйствен-ную деятельность через постоянные представительства на территории РФ, основы-ваются на нормах ведения учетно-расчетных операций, предусмотренных Законом РФ от 21 ноября 1996г. № 129-ФЗ ''О бухгалтерском учете'' и требованиями Положе-ний о бухгалтерском учете и отчетности в РФ (ПБУ 1/94 – ПБУ 6/97).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Годовая бухгалтерская отчетность иностранных юридических лиц подвергается проверкам (не реже одного раза в год) со стороны органов государственного финан-сового контроля (Счетная палата, ЦБ РФ, МФ РФ, ГНС РФ и другие) и органов неза-висимого аудита.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С 1 мая 1995 г. были внесены коррективы в налоговые отношения и для пред-приятий с иностранными инвестициями. Они были лишены значительной льготы по уплате налога на прибыль в виде уплаты этого налога один раз в год до 25 марта года, следующего за отчетным. Наличие этой льготы давало предприятиям с иностранными инвестициями значительные преимущества перед другими предприятиями, уплачи-вающими налог на прибыль ежеквартально и теряющими доходы из-за инфляцион-ного обесценения рубля. Для иностранных юридических лиц ранее действовавший порядок уплаты налога остался неизменным – один раз в год.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Иностранные юридические лица и предприятия с иностранными инвестициями являются плательщиками не только налога на прибыль (доход), но и других налогов в соответствии с налоговым законодательством РФ.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ab/>
        <w:t>Практика налогообложения иностранных компаний позволила выявить не толь-ко недостатки российского налогового законодательства, препятствующие притоку зарубежных инвестиций, но и ряд других, позволяющих уклоняться от уплаты нало-гов в России. Так, на протяжении длительного времени в законодательных и норма-тивных актах не был четко установлен порядок постановки иностранных юридичес-ких лиц на налоговый учет. Особенно это касалось фирм, не имеющих в России пос-тоянных представительств. Лицензии иностранным компаниям на лицензируемые ви-ды деятельности, например на строительство, выдавались различными российскими министерствами и ведомствами без проверки постановки на налоговый учет. Порой иностранцам давались совершенно беспочвенные и нереальные обещания освободить их от налогообложения или предоставить им налоговые льготы сверх установленных законом. Льготы, законодательно определенные предприятиям с иностранными ин-вестициями, то вводились, то отменялись, то устанавливались вновь, вводя в заблуж-дение предпринимателей или давая им оправдательные мотивы при установлении фактов неуплаты налогов.</w:t>
      </w: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rPr>
          <w:sz w:val="26"/>
          <w:szCs w:val="26"/>
        </w:rPr>
      </w:pPr>
    </w:p>
    <w:p w:rsidR="00A72770" w:rsidRDefault="00A72770">
      <w:pPr>
        <w:pStyle w:val="1"/>
      </w:pPr>
      <w:r>
        <w:t xml:space="preserve">                             Список использованных источников</w:t>
      </w:r>
    </w:p>
    <w:p w:rsidR="00A72770" w:rsidRDefault="00A72770">
      <w:pPr>
        <w:rPr>
          <w:sz w:val="30"/>
          <w:szCs w:val="30"/>
          <w:lang w:val="en-US"/>
        </w:rPr>
      </w:pP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1. Абрютина М.С., Грачев А.В. Анализ финансово-экономической деятельности 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предприятия: Учебно-практическое пособие. – М., 1998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2. Быкадоров В.А., Алексеев П.Д. Финансово-экономическое состояние предприятия: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Практическое пособие. – М.: ПРИОР, 1999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3. Налоги: Учебное пособие / Под ред. Д.Г.Черника. – М.: Финансы и статистика,1999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4. Черник Д.Г., Починок А.П., Морозов В.П.  Основы налоговой системы: Учебное      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 xml:space="preserve">    пособие для ВУЗов. – М.: Финансы, ЮНИТИ, 1998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5. Юткина Т.Ф.  Налоги и налогообложение. – М.: ИНФРА-М, 1998</w:t>
      </w:r>
    </w:p>
    <w:p w:rsidR="00A72770" w:rsidRDefault="00A72770">
      <w:pPr>
        <w:rPr>
          <w:sz w:val="26"/>
          <w:szCs w:val="26"/>
        </w:rPr>
      </w:pPr>
      <w:r>
        <w:rPr>
          <w:sz w:val="26"/>
          <w:szCs w:val="26"/>
        </w:rPr>
        <w:t>6. Шеремет А.Д., Сайфулин Р.С. Методика финансового анализа. – М., 1995</w:t>
      </w:r>
    </w:p>
    <w:p w:rsidR="00A72770" w:rsidRDefault="00A72770">
      <w:pPr>
        <w:rPr>
          <w:sz w:val="26"/>
          <w:szCs w:val="26"/>
        </w:rPr>
      </w:pPr>
      <w:bookmarkStart w:id="0" w:name="_GoBack"/>
      <w:bookmarkEnd w:id="0"/>
    </w:p>
    <w:sectPr w:rsidR="00A72770">
      <w:headerReference w:type="default" r:id="rId7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DEB" w:rsidRDefault="00D90DEB">
      <w:r>
        <w:separator/>
      </w:r>
    </w:p>
  </w:endnote>
  <w:endnote w:type="continuationSeparator" w:id="0">
    <w:p w:rsidR="00D90DEB" w:rsidRDefault="00D9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DEB" w:rsidRDefault="00D90DEB">
      <w:r>
        <w:separator/>
      </w:r>
    </w:p>
  </w:footnote>
  <w:footnote w:type="continuationSeparator" w:id="0">
    <w:p w:rsidR="00D90DEB" w:rsidRDefault="00D90D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770" w:rsidRDefault="00F1751A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A72770" w:rsidRDefault="00A72770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50B98"/>
    <w:multiLevelType w:val="singleLevel"/>
    <w:tmpl w:val="ED84A00A"/>
    <w:lvl w:ilvl="0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">
    <w:nsid w:val="0442148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5944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FD3FE5"/>
    <w:multiLevelType w:val="singleLevel"/>
    <w:tmpl w:val="ED1E29F0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4">
    <w:nsid w:val="0EAB707D"/>
    <w:multiLevelType w:val="singleLevel"/>
    <w:tmpl w:val="5D6A37BC"/>
    <w:lvl w:ilvl="0">
      <w:numFmt w:val="bullet"/>
      <w:lvlText w:val="-"/>
      <w:lvlJc w:val="left"/>
      <w:pPr>
        <w:tabs>
          <w:tab w:val="num" w:pos="2940"/>
        </w:tabs>
        <w:ind w:left="2940" w:hanging="360"/>
      </w:pPr>
      <w:rPr>
        <w:rFonts w:hint="default"/>
      </w:rPr>
    </w:lvl>
  </w:abstractNum>
  <w:abstractNum w:abstractNumId="5">
    <w:nsid w:val="1C6330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4CB3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F200E5"/>
    <w:multiLevelType w:val="singleLevel"/>
    <w:tmpl w:val="E67A9AC8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8">
    <w:nsid w:val="40A547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0AC2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10">
    <w:nsid w:val="540A5AF4"/>
    <w:multiLevelType w:val="singleLevel"/>
    <w:tmpl w:val="3814CAD0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11">
    <w:nsid w:val="54C559E6"/>
    <w:multiLevelType w:val="singleLevel"/>
    <w:tmpl w:val="2A1606A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F67802"/>
    <w:multiLevelType w:val="multilevel"/>
    <w:tmpl w:val="338041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605B3F25"/>
    <w:multiLevelType w:val="singleLevel"/>
    <w:tmpl w:val="5AA03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640616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4496480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4AB07CF"/>
    <w:multiLevelType w:val="multilevel"/>
    <w:tmpl w:val="641CE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7703093B"/>
    <w:multiLevelType w:val="singleLevel"/>
    <w:tmpl w:val="7BBC5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78105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8E957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5A4A76"/>
    <w:multiLevelType w:val="singleLevel"/>
    <w:tmpl w:val="B0961276"/>
    <w:lvl w:ilvl="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num w:numId="1">
    <w:abstractNumId w:val="20"/>
  </w:num>
  <w:num w:numId="2">
    <w:abstractNumId w:val="10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11"/>
  </w:num>
  <w:num w:numId="8">
    <w:abstractNumId w:val="12"/>
  </w:num>
  <w:num w:numId="9">
    <w:abstractNumId w:val="5"/>
  </w:num>
  <w:num w:numId="10">
    <w:abstractNumId w:val="9"/>
  </w:num>
  <w:num w:numId="11">
    <w:abstractNumId w:val="19"/>
  </w:num>
  <w:num w:numId="12">
    <w:abstractNumId w:val="15"/>
  </w:num>
  <w:num w:numId="13">
    <w:abstractNumId w:val="1"/>
  </w:num>
  <w:num w:numId="14">
    <w:abstractNumId w:val="14"/>
  </w:num>
  <w:num w:numId="15">
    <w:abstractNumId w:val="18"/>
  </w:num>
  <w:num w:numId="16">
    <w:abstractNumId w:val="6"/>
  </w:num>
  <w:num w:numId="17">
    <w:abstractNumId w:val="16"/>
  </w:num>
  <w:num w:numId="18">
    <w:abstractNumId w:val="17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770"/>
    <w:rsid w:val="00A40E0C"/>
    <w:rsid w:val="00A72770"/>
    <w:rsid w:val="00D90DEB"/>
    <w:rsid w:val="00E4606A"/>
    <w:rsid w:val="00F1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C9A64A20-8F5E-496A-845C-4540D7529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Pr>
      <w:b/>
      <w:bCs/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3">
    <w:name w:val="Body Text 3"/>
    <w:basedOn w:val="a"/>
    <w:link w:val="30"/>
    <w:uiPriority w:val="99"/>
    <w:rPr>
      <w:sz w:val="28"/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17170</Words>
  <Characters>97875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Министерство общего и профессионального образования РФ</vt:lpstr>
    </vt:vector>
  </TitlesOfParts>
  <Company> </Company>
  <LinksUpToDate>false</LinksUpToDate>
  <CharactersWithSpaces>114816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Министерство общего и профессионального образования РФ</dc:title>
  <dc:subject/>
  <dc:creator>Гузель</dc:creator>
  <cp:keywords/>
  <dc:description/>
  <cp:lastModifiedBy>admin</cp:lastModifiedBy>
  <cp:revision>2</cp:revision>
  <cp:lastPrinted>1999-10-23T19:53:00Z</cp:lastPrinted>
  <dcterms:created xsi:type="dcterms:W3CDTF">2014-02-17T15:11:00Z</dcterms:created>
  <dcterms:modified xsi:type="dcterms:W3CDTF">2014-02-17T15:11:00Z</dcterms:modified>
</cp:coreProperties>
</file>