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01" w:rsidRPr="00FC3901" w:rsidRDefault="00FC3901" w:rsidP="0093214A">
      <w:pPr>
        <w:shd w:val="clear" w:color="000000" w:fill="auto"/>
        <w:spacing w:line="360" w:lineRule="auto"/>
        <w:ind w:firstLine="709"/>
        <w:jc w:val="both"/>
        <w:rPr>
          <w:b/>
          <w:bCs/>
          <w:sz w:val="28"/>
          <w:szCs w:val="28"/>
        </w:rPr>
      </w:pPr>
      <w:r w:rsidRPr="00FC3901">
        <w:rPr>
          <w:b/>
          <w:bCs/>
          <w:sz w:val="28"/>
          <w:szCs w:val="28"/>
        </w:rPr>
        <w:t>Нефтегазовая промышленность Украины</w:t>
      </w:r>
    </w:p>
    <w:p w:rsidR="00FC3901" w:rsidRDefault="00FC3901" w:rsidP="0093214A">
      <w:pPr>
        <w:shd w:val="clear" w:color="000000" w:fill="auto"/>
        <w:spacing w:line="360" w:lineRule="auto"/>
        <w:ind w:firstLine="709"/>
        <w:jc w:val="both"/>
        <w:rPr>
          <w:bCs/>
          <w:sz w:val="28"/>
          <w:szCs w:val="28"/>
        </w:rPr>
      </w:pPr>
    </w:p>
    <w:p w:rsidR="0016723A" w:rsidRPr="00FC3901" w:rsidRDefault="0016723A" w:rsidP="0093214A">
      <w:pPr>
        <w:shd w:val="clear" w:color="000000" w:fill="auto"/>
        <w:spacing w:line="360" w:lineRule="auto"/>
        <w:ind w:firstLine="709"/>
        <w:jc w:val="both"/>
        <w:rPr>
          <w:sz w:val="28"/>
          <w:szCs w:val="28"/>
        </w:rPr>
      </w:pPr>
      <w:r w:rsidRPr="00FC3901">
        <w:rPr>
          <w:bCs/>
          <w:sz w:val="28"/>
          <w:szCs w:val="28"/>
        </w:rPr>
        <w:t>Нефтегазовая промышленность Украины представлена предприятиями по добыче и переработке нефти и газа. Главными нефтегазовыми областями страны являются Днепровско-Донецкая, Карпатская и Причерноморско-Крымская, а различные по запасам месторождения нефти и газа выявлены в большинстве (15) регионов страны.</w:t>
      </w:r>
    </w:p>
    <w:p w:rsidR="0016723A" w:rsidRPr="0093214A" w:rsidRDefault="00FC3901" w:rsidP="0093214A">
      <w:pPr>
        <w:shd w:val="clear" w:color="000000" w:fill="auto"/>
        <w:spacing w:line="360" w:lineRule="auto"/>
        <w:ind w:firstLine="709"/>
        <w:jc w:val="both"/>
        <w:rPr>
          <w:sz w:val="28"/>
          <w:szCs w:val="28"/>
        </w:rPr>
      </w:pPr>
      <w:r>
        <w:rPr>
          <w:b/>
          <w:bCs/>
          <w:sz w:val="28"/>
          <w:szCs w:val="28"/>
        </w:rPr>
        <w:br w:type="page"/>
      </w:r>
      <w:r w:rsidR="0016723A" w:rsidRPr="0093214A">
        <w:rPr>
          <w:b/>
          <w:bCs/>
          <w:sz w:val="28"/>
          <w:szCs w:val="28"/>
        </w:rPr>
        <w:t>Месторождения нефти и газа</w:t>
      </w:r>
    </w:p>
    <w:p w:rsidR="0016723A" w:rsidRPr="0093214A" w:rsidRDefault="0016723A" w:rsidP="0093214A">
      <w:pPr>
        <w:shd w:val="clear" w:color="000000" w:fill="auto"/>
        <w:spacing w:line="360" w:lineRule="auto"/>
        <w:ind w:firstLine="709"/>
        <w:jc w:val="both"/>
        <w:rPr>
          <w:vanish/>
          <w:sz w:val="28"/>
          <w:szCs w:val="28"/>
        </w:rPr>
      </w:pPr>
    </w:p>
    <w:p w:rsidR="0016723A" w:rsidRPr="0093214A" w:rsidRDefault="0016723A" w:rsidP="0093214A">
      <w:pPr>
        <w:shd w:val="clear" w:color="000000" w:fill="auto"/>
        <w:spacing w:line="360" w:lineRule="auto"/>
        <w:ind w:firstLine="709"/>
        <w:jc w:val="both"/>
        <w:rPr>
          <w:sz w:val="28"/>
          <w:szCs w:val="28"/>
        </w:rPr>
      </w:pPr>
      <w:r w:rsidRPr="0093214A">
        <w:rPr>
          <w:sz w:val="28"/>
          <w:szCs w:val="28"/>
        </w:rPr>
        <w:t xml:space="preserve">Днепровско-Донецкая впадина является крупнейшей нефтегазоносной областью Украины. Она заполнена многокилометровыми преимущественно осадочными отложениями девонского (мощность более </w:t>
      </w:r>
      <w:smartTag w:uri="urn:schemas-microsoft-com:office:smarttags" w:element="metricconverter">
        <w:smartTagPr>
          <w:attr w:name="ProductID" w:val="4000 м"/>
        </w:smartTagPr>
        <w:r w:rsidRPr="0093214A">
          <w:rPr>
            <w:sz w:val="28"/>
            <w:szCs w:val="28"/>
          </w:rPr>
          <w:t>4000 м</w:t>
        </w:r>
      </w:smartTag>
      <w:r w:rsidRPr="0093214A">
        <w:rPr>
          <w:sz w:val="28"/>
          <w:szCs w:val="28"/>
        </w:rPr>
        <w:t>), карбонового (</w:t>
      </w:r>
      <w:smartTag w:uri="urn:schemas-microsoft-com:office:smarttags" w:element="metricconverter">
        <w:smartTagPr>
          <w:attr w:name="ProductID" w:val="3700 м"/>
        </w:smartTagPr>
        <w:r w:rsidRPr="0093214A">
          <w:rPr>
            <w:sz w:val="28"/>
            <w:szCs w:val="28"/>
          </w:rPr>
          <w:t>3700 м</w:t>
        </w:r>
      </w:smartTag>
      <w:r w:rsidRPr="0093214A">
        <w:rPr>
          <w:sz w:val="28"/>
          <w:szCs w:val="28"/>
        </w:rPr>
        <w:t>), пермского (</w:t>
      </w:r>
      <w:smartTag w:uri="urn:schemas-microsoft-com:office:smarttags" w:element="metricconverter">
        <w:smartTagPr>
          <w:attr w:name="ProductID" w:val="1900 м"/>
        </w:smartTagPr>
        <w:r w:rsidRPr="0093214A">
          <w:rPr>
            <w:sz w:val="28"/>
            <w:szCs w:val="28"/>
          </w:rPr>
          <w:t>1900 м</w:t>
        </w:r>
      </w:smartTag>
      <w:r w:rsidRPr="0093214A">
        <w:rPr>
          <w:sz w:val="28"/>
          <w:szCs w:val="28"/>
        </w:rPr>
        <w:t>), триасового (</w:t>
      </w:r>
      <w:smartTag w:uri="urn:schemas-microsoft-com:office:smarttags" w:element="metricconverter">
        <w:smartTagPr>
          <w:attr w:name="ProductID" w:val="450 м"/>
        </w:smartTagPr>
        <w:r w:rsidRPr="0093214A">
          <w:rPr>
            <w:sz w:val="28"/>
            <w:szCs w:val="28"/>
          </w:rPr>
          <w:t>450 м</w:t>
        </w:r>
      </w:smartTag>
      <w:r w:rsidRPr="0093214A">
        <w:rPr>
          <w:sz w:val="28"/>
          <w:szCs w:val="28"/>
        </w:rPr>
        <w:t>), юрского (</w:t>
      </w:r>
      <w:smartTag w:uri="urn:schemas-microsoft-com:office:smarttags" w:element="metricconverter">
        <w:smartTagPr>
          <w:attr w:name="ProductID" w:val="650 м"/>
        </w:smartTagPr>
        <w:r w:rsidRPr="0093214A">
          <w:rPr>
            <w:sz w:val="28"/>
            <w:szCs w:val="28"/>
          </w:rPr>
          <w:t>650 м</w:t>
        </w:r>
      </w:smartTag>
      <w:r w:rsidRPr="0093214A">
        <w:rPr>
          <w:sz w:val="28"/>
          <w:szCs w:val="28"/>
        </w:rPr>
        <w:t>), мелового (</w:t>
      </w:r>
      <w:smartTag w:uri="urn:schemas-microsoft-com:office:smarttags" w:element="metricconverter">
        <w:smartTagPr>
          <w:attr w:name="ProductID" w:val="650 м"/>
        </w:smartTagPr>
        <w:r w:rsidRPr="0093214A">
          <w:rPr>
            <w:sz w:val="28"/>
            <w:szCs w:val="28"/>
          </w:rPr>
          <w:t>650 м</w:t>
        </w:r>
      </w:smartTag>
      <w:r w:rsidRPr="0093214A">
        <w:rPr>
          <w:sz w:val="28"/>
          <w:szCs w:val="28"/>
        </w:rPr>
        <w:t>), палеогенового (</w:t>
      </w:r>
      <w:smartTag w:uri="urn:schemas-microsoft-com:office:smarttags" w:element="metricconverter">
        <w:smartTagPr>
          <w:attr w:name="ProductID" w:val="250 м"/>
        </w:smartTagPr>
        <w:r w:rsidRPr="0093214A">
          <w:rPr>
            <w:sz w:val="28"/>
            <w:szCs w:val="28"/>
          </w:rPr>
          <w:t>250 м</w:t>
        </w:r>
      </w:smartTag>
      <w:r w:rsidRPr="0093214A">
        <w:rPr>
          <w:sz w:val="28"/>
          <w:szCs w:val="28"/>
        </w:rPr>
        <w:t>) и неогенового (</w:t>
      </w:r>
      <w:smartTag w:uri="urn:schemas-microsoft-com:office:smarttags" w:element="metricconverter">
        <w:smartTagPr>
          <w:attr w:name="ProductID" w:val="30 м"/>
        </w:smartTagPr>
        <w:r w:rsidRPr="0093214A">
          <w:rPr>
            <w:sz w:val="28"/>
            <w:szCs w:val="28"/>
          </w:rPr>
          <w:t>30 м</w:t>
        </w:r>
      </w:smartTag>
      <w:r w:rsidRPr="0093214A">
        <w:rPr>
          <w:sz w:val="28"/>
          <w:szCs w:val="28"/>
        </w:rPr>
        <w:t>) периодов истории развития Земли. Месторождения нефти и газа здесь приурочены к палеозойским (девонским, карбоновым и пермским) и мезозойским (триасовым) породам, образовавшимся 410-245 млн. лет тому назад.</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Предкарпатские месторождения углеводородного сырья несколько моложе – они сформировались на рубеже мезозойской и кайнозойской эр. На протяжении мелового и палеогенового периодов (135-24 млн. лет тому назад) в этом районе накапливались многокилометровые толщи так называемых флишевых пород (созданных слоями песчаников, глин, мергелей и туфовых пород), из которых нефть и газ добывают уже более двух веков.</w:t>
      </w:r>
    </w:p>
    <w:p w:rsidR="00FC3901" w:rsidRDefault="00FC3901" w:rsidP="0093214A">
      <w:pPr>
        <w:shd w:val="clear" w:color="000000" w:fill="auto"/>
        <w:spacing w:line="360" w:lineRule="auto"/>
        <w:ind w:firstLine="709"/>
        <w:jc w:val="both"/>
        <w:rPr>
          <w:b/>
          <w:bCs/>
          <w:sz w:val="28"/>
          <w:szCs w:val="28"/>
        </w:rPr>
      </w:pPr>
    </w:p>
    <w:p w:rsidR="0016723A" w:rsidRDefault="0016723A" w:rsidP="0093214A">
      <w:pPr>
        <w:shd w:val="clear" w:color="000000" w:fill="auto"/>
        <w:spacing w:line="360" w:lineRule="auto"/>
        <w:ind w:firstLine="709"/>
        <w:jc w:val="both"/>
        <w:rPr>
          <w:b/>
          <w:bCs/>
          <w:sz w:val="28"/>
          <w:szCs w:val="28"/>
        </w:rPr>
      </w:pPr>
      <w:r w:rsidRPr="0093214A">
        <w:rPr>
          <w:b/>
          <w:bCs/>
          <w:sz w:val="28"/>
          <w:szCs w:val="28"/>
        </w:rPr>
        <w:t>Исторические заметки</w:t>
      </w:r>
    </w:p>
    <w:p w:rsidR="00FC3901" w:rsidRPr="0093214A" w:rsidRDefault="00FC3901" w:rsidP="0093214A">
      <w:pPr>
        <w:shd w:val="clear" w:color="000000" w:fill="auto"/>
        <w:spacing w:line="360" w:lineRule="auto"/>
        <w:ind w:firstLine="709"/>
        <w:jc w:val="both"/>
        <w:rPr>
          <w:sz w:val="28"/>
          <w:szCs w:val="28"/>
        </w:rPr>
      </w:pPr>
    </w:p>
    <w:p w:rsidR="00FC3901" w:rsidRPr="0093214A" w:rsidRDefault="00FC3901" w:rsidP="00FC3901">
      <w:pPr>
        <w:shd w:val="clear" w:color="000000" w:fill="auto"/>
        <w:spacing w:line="360" w:lineRule="auto"/>
        <w:ind w:firstLine="709"/>
        <w:jc w:val="both"/>
        <w:rPr>
          <w:sz w:val="28"/>
          <w:szCs w:val="28"/>
        </w:rPr>
      </w:pPr>
      <w:r w:rsidRPr="0093214A">
        <w:rPr>
          <w:sz w:val="28"/>
          <w:szCs w:val="28"/>
        </w:rPr>
        <w:t xml:space="preserve">Во второй половине XIX и начале ХХ вв. </w:t>
      </w:r>
      <w:r w:rsidRPr="0093214A">
        <w:rPr>
          <w:b/>
          <w:bCs/>
          <w:i/>
          <w:iCs/>
          <w:sz w:val="28"/>
          <w:szCs w:val="28"/>
        </w:rPr>
        <w:t>Дрогобыч был одним из центров по переработке озокерита, парафина и нефти</w:t>
      </w:r>
      <w:r w:rsidRPr="0093214A">
        <w:rPr>
          <w:sz w:val="28"/>
          <w:szCs w:val="28"/>
        </w:rPr>
        <w:t>. Здесь (и в соседнем Бориславе) в 1900-1910 гг. добывалось около 90% всей нефти Галиции. После присоединения западно-украинских земель к СССР, Дрогобыч на протяжении двух десятилетий (1939-1959 гг.) был столицей одноименной области, со временем объединённой с Львовской.</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 xml:space="preserve">Согласно некоторым источникам, старейшими нефтедобывающими районами Предкарпатья являются родина знаменитого украинского писателя И. Франко с. Нагуевичи и окрестности г. Коломыи, где нефть известна с конца XVIII века, а в Старой Соли её добывали в начале 1800-х годов. Развитие капитализма в Австро-Венгерской империи, освоение нового сырья, глубокого бурения (с </w:t>
      </w:r>
      <w:smartTag w:uri="urn:schemas-microsoft-com:office:smarttags" w:element="metricconverter">
        <w:smartTagPr>
          <w:attr w:name="ProductID" w:val="1884 г"/>
        </w:smartTagPr>
        <w:r w:rsidRPr="0093214A">
          <w:rPr>
            <w:sz w:val="28"/>
            <w:szCs w:val="28"/>
          </w:rPr>
          <w:t>1884 г</w:t>
        </w:r>
      </w:smartTag>
      <w:r w:rsidRPr="0093214A">
        <w:rPr>
          <w:sz w:val="28"/>
          <w:szCs w:val="28"/>
        </w:rPr>
        <w:t>. буровые скважины достигали глубины до 500-</w:t>
      </w:r>
      <w:smartTag w:uri="urn:schemas-microsoft-com:office:smarttags" w:element="metricconverter">
        <w:smartTagPr>
          <w:attr w:name="ProductID" w:val="600 м"/>
        </w:smartTagPr>
        <w:r w:rsidRPr="0093214A">
          <w:rPr>
            <w:sz w:val="28"/>
            <w:szCs w:val="28"/>
          </w:rPr>
          <w:t>600 м</w:t>
        </w:r>
      </w:smartTag>
      <w:r w:rsidRPr="0093214A">
        <w:rPr>
          <w:sz w:val="28"/>
          <w:szCs w:val="28"/>
        </w:rPr>
        <w:t>) и относительно неглубокое залегание нефтеносных горизонтов способствовали расширению нефтедобычи в Предкарпатье.</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 xml:space="preserve">В </w:t>
      </w:r>
      <w:smartTag w:uri="urn:schemas-microsoft-com:office:smarttags" w:element="metricconverter">
        <w:smartTagPr>
          <w:attr w:name="ProductID" w:val="1864 г"/>
        </w:smartTagPr>
        <w:r w:rsidRPr="0093214A">
          <w:rPr>
            <w:sz w:val="28"/>
            <w:szCs w:val="28"/>
          </w:rPr>
          <w:t>1864 г</w:t>
        </w:r>
      </w:smartTag>
      <w:r w:rsidRPr="0093214A">
        <w:rPr>
          <w:sz w:val="28"/>
          <w:szCs w:val="28"/>
        </w:rPr>
        <w:t xml:space="preserve">. на всех прикарпатских промыслах добыто 2 тыс. тонн нефти, в </w:t>
      </w:r>
      <w:smartTag w:uri="urn:schemas-microsoft-com:office:smarttags" w:element="metricconverter">
        <w:smartTagPr>
          <w:attr w:name="ProductID" w:val="1886 г"/>
        </w:smartTagPr>
        <w:r w:rsidRPr="0093214A">
          <w:rPr>
            <w:sz w:val="28"/>
            <w:szCs w:val="28"/>
          </w:rPr>
          <w:t>1886 г</w:t>
        </w:r>
      </w:smartTag>
      <w:r w:rsidRPr="0093214A">
        <w:rPr>
          <w:sz w:val="28"/>
          <w:szCs w:val="28"/>
        </w:rPr>
        <w:t xml:space="preserve">. – 29,1 тыс. тонн, а наивысшего уровня добычи нефти Восточная Галиция достигла в </w:t>
      </w:r>
      <w:smartTag w:uri="urn:schemas-microsoft-com:office:smarttags" w:element="metricconverter">
        <w:smartTagPr>
          <w:attr w:name="ProductID" w:val="1909 г"/>
        </w:smartTagPr>
        <w:r w:rsidRPr="0093214A">
          <w:rPr>
            <w:sz w:val="28"/>
            <w:szCs w:val="28"/>
          </w:rPr>
          <w:t>1909 г</w:t>
        </w:r>
      </w:smartTag>
      <w:r w:rsidRPr="0093214A">
        <w:rPr>
          <w:sz w:val="28"/>
          <w:szCs w:val="28"/>
        </w:rPr>
        <w:t>. – более 2 млн. тонн. По тем временам эти объёмы составляли около 5% мировой добычи жидкого топлива. Освоение нефтедобычи и переработки привела к бурному развитию региона и постепенно перешла под контроль иностранных (преимущественно французских и американских) предпринимателей. Им также принадлежал сопутствующий промысел – добыча и переработка озокерита (спутника нефти), широко используемого для изготовления тогда актуальных свечей и в лечебных целях. В последующие годы добыча нефти и озокерита в Предкарпатье сокращалась.</w:t>
      </w:r>
    </w:p>
    <w:p w:rsidR="006035BE" w:rsidRDefault="006035BE" w:rsidP="0093214A">
      <w:pPr>
        <w:shd w:val="clear" w:color="000000" w:fill="auto"/>
        <w:spacing w:line="360" w:lineRule="auto"/>
        <w:ind w:firstLine="709"/>
        <w:jc w:val="both"/>
        <w:rPr>
          <w:b/>
          <w:bCs/>
          <w:sz w:val="28"/>
          <w:szCs w:val="28"/>
        </w:rPr>
      </w:pPr>
    </w:p>
    <w:p w:rsidR="0016723A" w:rsidRPr="0093214A" w:rsidRDefault="0016723A" w:rsidP="0093214A">
      <w:pPr>
        <w:shd w:val="clear" w:color="000000" w:fill="auto"/>
        <w:spacing w:line="360" w:lineRule="auto"/>
        <w:ind w:firstLine="709"/>
        <w:jc w:val="both"/>
        <w:rPr>
          <w:sz w:val="28"/>
          <w:szCs w:val="28"/>
        </w:rPr>
      </w:pPr>
      <w:r w:rsidRPr="0093214A">
        <w:rPr>
          <w:b/>
          <w:bCs/>
          <w:sz w:val="28"/>
          <w:szCs w:val="28"/>
        </w:rPr>
        <w:t>Карта-схема основных нефтегазовых месторождений Украины</w:t>
      </w:r>
    </w:p>
    <w:p w:rsidR="006035BE" w:rsidRDefault="006035BE" w:rsidP="0093214A">
      <w:pPr>
        <w:shd w:val="clear" w:color="000000" w:fill="auto"/>
        <w:spacing w:line="360" w:lineRule="auto"/>
        <w:ind w:firstLine="709"/>
        <w:jc w:val="both"/>
        <w:rPr>
          <w:b/>
          <w:bCs/>
          <w:i/>
          <w:iCs/>
          <w:sz w:val="28"/>
          <w:szCs w:val="28"/>
        </w:rPr>
      </w:pPr>
    </w:p>
    <w:p w:rsidR="0016723A" w:rsidRPr="0093214A" w:rsidRDefault="0016723A" w:rsidP="0093214A">
      <w:pPr>
        <w:shd w:val="clear" w:color="000000" w:fill="auto"/>
        <w:spacing w:line="360" w:lineRule="auto"/>
        <w:ind w:firstLine="709"/>
        <w:jc w:val="both"/>
        <w:rPr>
          <w:sz w:val="28"/>
          <w:szCs w:val="28"/>
        </w:rPr>
      </w:pPr>
      <w:r w:rsidRPr="0093214A">
        <w:rPr>
          <w:b/>
          <w:bCs/>
          <w:i/>
          <w:iCs/>
          <w:sz w:val="28"/>
          <w:szCs w:val="28"/>
        </w:rPr>
        <w:t>Месторождения нефти</w:t>
      </w:r>
      <w:r w:rsidRPr="0093214A">
        <w:rPr>
          <w:sz w:val="28"/>
          <w:szCs w:val="28"/>
        </w:rPr>
        <w:t>: 1 – Старосамборское, 2 – Бориславское, 3 – Долинское, 4 – Прилукское, 5 – Ниновское, 6 – Бургуватовское, 7 – Козиевское, 8 – Решетняковское, 9 – Восточно-Саратское;</w:t>
      </w:r>
    </w:p>
    <w:p w:rsidR="0016723A" w:rsidRPr="0093214A" w:rsidRDefault="0016723A" w:rsidP="0093214A">
      <w:pPr>
        <w:shd w:val="clear" w:color="000000" w:fill="auto"/>
        <w:spacing w:line="360" w:lineRule="auto"/>
        <w:ind w:firstLine="709"/>
        <w:jc w:val="both"/>
        <w:rPr>
          <w:sz w:val="28"/>
          <w:szCs w:val="28"/>
        </w:rPr>
      </w:pPr>
      <w:r w:rsidRPr="0093214A">
        <w:rPr>
          <w:b/>
          <w:bCs/>
          <w:i/>
          <w:iCs/>
          <w:sz w:val="28"/>
          <w:szCs w:val="28"/>
        </w:rPr>
        <w:t>Месторождения газа</w:t>
      </w:r>
      <w:r w:rsidRPr="0093214A">
        <w:rPr>
          <w:sz w:val="28"/>
          <w:szCs w:val="28"/>
        </w:rPr>
        <w:t>: 10 – Залужанское, 11 – Гриневское, 12 – Косовское, 13 – Солотвинское, 14 – Абазовское, 15 – Семенцовское, 16 – Руденковское, 17 – Перещепинское, 18 – Ефремовское, 19 – Шебелинское, 20 – Приазовское, 21 – Стрелковое, 22 – Джанкойское, 23 – Задорненское, 24 – Глебовское, 25 – Голицынское, 26 – Штормовое.</w:t>
      </w:r>
    </w:p>
    <w:p w:rsidR="0016723A" w:rsidRPr="0093214A" w:rsidRDefault="0016723A" w:rsidP="0093214A">
      <w:pPr>
        <w:shd w:val="clear" w:color="000000" w:fill="auto"/>
        <w:spacing w:line="360" w:lineRule="auto"/>
        <w:ind w:firstLine="709"/>
        <w:jc w:val="both"/>
        <w:rPr>
          <w:sz w:val="28"/>
          <w:szCs w:val="28"/>
        </w:rPr>
      </w:pPr>
      <w:r w:rsidRPr="0093214A">
        <w:rPr>
          <w:b/>
          <w:bCs/>
          <w:i/>
          <w:iCs/>
          <w:sz w:val="28"/>
          <w:szCs w:val="28"/>
        </w:rPr>
        <w:t>Нефтегазовые месторождения</w:t>
      </w:r>
      <w:r w:rsidRPr="0093214A">
        <w:rPr>
          <w:sz w:val="28"/>
          <w:szCs w:val="28"/>
        </w:rPr>
        <w:t>: 27 – Надворнянское, 28 – Талалаевское, 29 – Гнидинцовское, 30 – Анастасьевское, 31 – Качановское, 32 – Радченковское, 33 – Опошнянское, 34 – Дружелюбовское.</w:t>
      </w:r>
    </w:p>
    <w:p w:rsidR="0016723A" w:rsidRPr="0093214A" w:rsidRDefault="006035BE" w:rsidP="0093214A">
      <w:pPr>
        <w:shd w:val="clear" w:color="000000" w:fill="auto"/>
        <w:spacing w:line="360" w:lineRule="auto"/>
        <w:ind w:firstLine="709"/>
        <w:jc w:val="both"/>
        <w:rPr>
          <w:sz w:val="28"/>
          <w:szCs w:val="28"/>
        </w:rPr>
      </w:pPr>
      <w:r>
        <w:rPr>
          <w:b/>
          <w:bCs/>
          <w:sz w:val="28"/>
          <w:szCs w:val="28"/>
        </w:rPr>
        <w:br w:type="page"/>
      </w:r>
      <w:r w:rsidR="0016723A" w:rsidRPr="0093214A">
        <w:rPr>
          <w:b/>
          <w:bCs/>
          <w:sz w:val="28"/>
          <w:szCs w:val="28"/>
        </w:rPr>
        <w:t>Нефть Украины</w:t>
      </w:r>
    </w:p>
    <w:tbl>
      <w:tblPr>
        <w:tblpPr w:leftFromText="45" w:rightFromText="45" w:vertAnchor="text" w:tblpXSpec="cente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657"/>
        <w:gridCol w:w="1523"/>
        <w:gridCol w:w="1726"/>
        <w:gridCol w:w="1599"/>
      </w:tblGrid>
      <w:tr w:rsidR="0016723A" w:rsidRPr="00FC3901" w:rsidTr="00FC3901">
        <w:trPr>
          <w:jc w:val="center"/>
        </w:trPr>
        <w:tc>
          <w:tcPr>
            <w:tcW w:w="5025" w:type="dxa"/>
            <w:gridSpan w:val="4"/>
            <w:tcBorders>
              <w:top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b/>
                <w:bCs/>
                <w:i/>
                <w:iCs/>
                <w:sz w:val="20"/>
                <w:szCs w:val="20"/>
              </w:rPr>
              <w:t>Месторождения нефти Украины</w:t>
            </w:r>
          </w:p>
        </w:tc>
      </w:tr>
      <w:tr w:rsidR="0016723A" w:rsidRPr="00FC3901" w:rsidTr="00FC3901">
        <w:trPr>
          <w:jc w:val="center"/>
        </w:trPr>
        <w:tc>
          <w:tcPr>
            <w:tcW w:w="2160" w:type="dxa"/>
            <w:vMerge w:val="restart"/>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Регион</w:t>
            </w:r>
          </w:p>
        </w:tc>
        <w:tc>
          <w:tcPr>
            <w:tcW w:w="1920" w:type="dxa"/>
            <w:gridSpan w:val="2"/>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Количество</w:t>
            </w:r>
          </w:p>
          <w:p w:rsidR="0016723A" w:rsidRPr="00FC3901" w:rsidRDefault="0016723A" w:rsidP="00FC3901">
            <w:pPr>
              <w:shd w:val="clear" w:color="000000" w:fill="auto"/>
              <w:spacing w:line="360" w:lineRule="auto"/>
              <w:jc w:val="both"/>
              <w:rPr>
                <w:sz w:val="20"/>
                <w:szCs w:val="20"/>
              </w:rPr>
            </w:pPr>
            <w:r w:rsidRPr="00FC3901">
              <w:rPr>
                <w:sz w:val="20"/>
                <w:szCs w:val="20"/>
              </w:rPr>
              <w:t>месторождений</w:t>
            </w:r>
          </w:p>
        </w:tc>
        <w:tc>
          <w:tcPr>
            <w:tcW w:w="945" w:type="dxa"/>
            <w:vMerge w:val="restart"/>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Запасы, млн. тонн</w:t>
            </w:r>
          </w:p>
        </w:tc>
      </w:tr>
      <w:tr w:rsidR="0016723A" w:rsidRPr="00FC3901" w:rsidTr="00FC3901">
        <w:trPr>
          <w:jc w:val="center"/>
        </w:trPr>
        <w:tc>
          <w:tcPr>
            <w:tcW w:w="0" w:type="auto"/>
            <w:vMerge/>
            <w:tcBorders>
              <w:top w:val="outset" w:sz="6" w:space="0" w:color="auto"/>
              <w:bottom w:val="outset" w:sz="6" w:space="0" w:color="auto"/>
              <w:right w:val="outset" w:sz="6" w:space="0" w:color="auto"/>
            </w:tcBorders>
            <w:vAlign w:val="center"/>
          </w:tcPr>
          <w:p w:rsidR="0016723A" w:rsidRPr="00FC3901" w:rsidRDefault="0016723A" w:rsidP="00FC3901">
            <w:pPr>
              <w:shd w:val="clear" w:color="000000" w:fill="auto"/>
              <w:spacing w:line="360" w:lineRule="auto"/>
              <w:jc w:val="both"/>
              <w:rPr>
                <w:sz w:val="20"/>
                <w:szCs w:val="20"/>
              </w:rPr>
            </w:pP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Открыто</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Разраба-тывается</w:t>
            </w:r>
          </w:p>
        </w:tc>
        <w:tc>
          <w:tcPr>
            <w:tcW w:w="0" w:type="auto"/>
            <w:vMerge/>
            <w:tcBorders>
              <w:top w:val="outset" w:sz="6" w:space="0" w:color="auto"/>
              <w:left w:val="outset" w:sz="6" w:space="0" w:color="auto"/>
              <w:bottom w:val="outset" w:sz="6" w:space="0" w:color="auto"/>
            </w:tcBorders>
            <w:vAlign w:val="center"/>
          </w:tcPr>
          <w:p w:rsidR="0016723A" w:rsidRPr="00FC3901" w:rsidRDefault="0016723A" w:rsidP="00FC3901">
            <w:pPr>
              <w:shd w:val="clear" w:color="000000" w:fill="auto"/>
              <w:spacing w:line="360" w:lineRule="auto"/>
              <w:jc w:val="both"/>
              <w:rPr>
                <w:sz w:val="20"/>
                <w:szCs w:val="20"/>
              </w:rPr>
            </w:pP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Сумская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21</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17</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40,9</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Львовская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17</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9</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35,5</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Полтавская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23</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17</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31,2</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Ивано-Франковская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23</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17</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26,1</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Черниговская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20</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17</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15,1</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Харьковская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11</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4</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11,7</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Черновицкая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7,6</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Одесская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2</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5,5</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АР Крым</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10</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5,1</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Днепропетровская</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5</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5</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sz w:val="20"/>
                <w:szCs w:val="20"/>
              </w:rPr>
              <w:t>1,1</w:t>
            </w:r>
          </w:p>
        </w:tc>
      </w:tr>
      <w:tr w:rsidR="0016723A" w:rsidRPr="00FC3901" w:rsidTr="00FC3901">
        <w:trPr>
          <w:jc w:val="center"/>
        </w:trPr>
        <w:tc>
          <w:tcPr>
            <w:tcW w:w="2160" w:type="dxa"/>
            <w:tcBorders>
              <w:top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b/>
                <w:bCs/>
                <w:sz w:val="20"/>
                <w:szCs w:val="20"/>
              </w:rPr>
              <w:t>Украина</w:t>
            </w:r>
          </w:p>
        </w:tc>
        <w:tc>
          <w:tcPr>
            <w:tcW w:w="90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b/>
                <w:bCs/>
                <w:sz w:val="20"/>
                <w:szCs w:val="20"/>
              </w:rPr>
              <w:t>133</w:t>
            </w:r>
          </w:p>
        </w:tc>
        <w:tc>
          <w:tcPr>
            <w:tcW w:w="1020" w:type="dxa"/>
            <w:tcBorders>
              <w:top w:val="outset" w:sz="6" w:space="0" w:color="auto"/>
              <w:left w:val="outset" w:sz="6" w:space="0" w:color="auto"/>
              <w:bottom w:val="outset" w:sz="6" w:space="0" w:color="auto"/>
              <w:right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b/>
                <w:bCs/>
                <w:sz w:val="20"/>
                <w:szCs w:val="20"/>
              </w:rPr>
              <w:t>87</w:t>
            </w:r>
          </w:p>
        </w:tc>
        <w:tc>
          <w:tcPr>
            <w:tcW w:w="945" w:type="dxa"/>
            <w:tcBorders>
              <w:top w:val="outset" w:sz="6" w:space="0" w:color="auto"/>
              <w:left w:val="outset" w:sz="6" w:space="0" w:color="auto"/>
              <w:bottom w:val="outset" w:sz="6" w:space="0" w:color="auto"/>
            </w:tcBorders>
            <w:noWrap/>
            <w:vAlign w:val="center"/>
          </w:tcPr>
          <w:p w:rsidR="0016723A" w:rsidRPr="00FC3901" w:rsidRDefault="0016723A" w:rsidP="00FC3901">
            <w:pPr>
              <w:shd w:val="clear" w:color="000000" w:fill="auto"/>
              <w:spacing w:line="360" w:lineRule="auto"/>
              <w:jc w:val="both"/>
              <w:rPr>
                <w:sz w:val="20"/>
                <w:szCs w:val="20"/>
              </w:rPr>
            </w:pPr>
            <w:r w:rsidRPr="00FC3901">
              <w:rPr>
                <w:b/>
                <w:bCs/>
                <w:sz w:val="20"/>
                <w:szCs w:val="20"/>
              </w:rPr>
              <w:t>179,8</w:t>
            </w:r>
          </w:p>
        </w:tc>
      </w:tr>
    </w:tbl>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FC3901" w:rsidRDefault="00FC3901" w:rsidP="0093214A">
      <w:pPr>
        <w:shd w:val="clear" w:color="000000" w:fill="auto"/>
        <w:spacing w:line="360" w:lineRule="auto"/>
        <w:ind w:firstLine="709"/>
        <w:jc w:val="both"/>
        <w:rPr>
          <w:sz w:val="28"/>
          <w:szCs w:val="28"/>
        </w:rPr>
      </w:pPr>
    </w:p>
    <w:p w:rsidR="006035BE" w:rsidRDefault="006035BE" w:rsidP="0093214A">
      <w:pPr>
        <w:shd w:val="clear" w:color="000000" w:fill="auto"/>
        <w:spacing w:line="360" w:lineRule="auto"/>
        <w:ind w:firstLine="709"/>
        <w:jc w:val="both"/>
        <w:rPr>
          <w:sz w:val="28"/>
          <w:szCs w:val="28"/>
        </w:rPr>
      </w:pPr>
    </w:p>
    <w:p w:rsidR="006035BE" w:rsidRDefault="006035BE" w:rsidP="0093214A">
      <w:pPr>
        <w:shd w:val="clear" w:color="000000" w:fill="auto"/>
        <w:spacing w:line="360" w:lineRule="auto"/>
        <w:ind w:firstLine="709"/>
        <w:jc w:val="both"/>
        <w:rPr>
          <w:sz w:val="28"/>
          <w:szCs w:val="28"/>
        </w:rPr>
      </w:pPr>
    </w:p>
    <w:p w:rsidR="0016723A" w:rsidRDefault="0016723A" w:rsidP="0093214A">
      <w:pPr>
        <w:shd w:val="clear" w:color="000000" w:fill="auto"/>
        <w:spacing w:line="360" w:lineRule="auto"/>
        <w:ind w:firstLine="709"/>
        <w:jc w:val="both"/>
        <w:rPr>
          <w:sz w:val="28"/>
          <w:szCs w:val="28"/>
        </w:rPr>
      </w:pPr>
      <w:r w:rsidRPr="0093214A">
        <w:rPr>
          <w:sz w:val="28"/>
          <w:szCs w:val="28"/>
        </w:rPr>
        <w:t xml:space="preserve">Днепровско-Донецкий нефтегазоносный регион сформировался на Левобережье Украины, где в Сумской, Полтавской, Черниговской и Харьковской областях разведаны и эксплуатируются месторождения </w:t>
      </w:r>
      <w:r w:rsidR="00D03ED1" w:rsidRPr="0093214A">
        <w:rPr>
          <w:sz w:val="28"/>
          <w:szCs w:val="28"/>
        </w:rPr>
        <w:t>высококачественной</w:t>
      </w:r>
      <w:r w:rsidRPr="0093214A">
        <w:rPr>
          <w:sz w:val="28"/>
          <w:szCs w:val="28"/>
        </w:rPr>
        <w:t xml:space="preserve"> нефти. Некоторые из них содержат значительное количество сопутствующего природного газа, используемого для газификации окружающих городов и сёл. В 1970-х годах нефть Левобережной Украины начали добывать с глубины около </w:t>
      </w:r>
      <w:smartTag w:uri="urn:schemas-microsoft-com:office:smarttags" w:element="metricconverter">
        <w:smartTagPr>
          <w:attr w:name="ProductID" w:val="3000 м"/>
        </w:smartTagPr>
        <w:r w:rsidRPr="0093214A">
          <w:rPr>
            <w:sz w:val="28"/>
            <w:szCs w:val="28"/>
          </w:rPr>
          <w:t>3000 м</w:t>
        </w:r>
      </w:smartTag>
      <w:r w:rsidRPr="0093214A">
        <w:rPr>
          <w:sz w:val="28"/>
          <w:szCs w:val="28"/>
        </w:rPr>
        <w:t xml:space="preserve"> преимущественно фонтанным способом, когда нефть из земных глубин поднимается под давлением нефтяных газов. Нефтегазодобывающие управления функционируют в Сумской (Ахтырское и Качановское месторождения), Черниговской (Гнидинцовское, Прилукское месторождения и др.) и Полтавской (Сагайдацкое, Зачепиловское, Радченковское месторождения и др.) областях.</w:t>
      </w:r>
    </w:p>
    <w:p w:rsidR="006E2A34" w:rsidRDefault="006E2A34" w:rsidP="0093214A">
      <w:pPr>
        <w:shd w:val="clear" w:color="000000" w:fill="auto"/>
        <w:spacing w:line="360" w:lineRule="auto"/>
        <w:ind w:firstLine="709"/>
        <w:jc w:val="both"/>
        <w:rPr>
          <w:sz w:val="28"/>
          <w:szCs w:val="28"/>
        </w:rPr>
      </w:pPr>
    </w:p>
    <w:p w:rsidR="006E2A34" w:rsidRDefault="006E2A34" w:rsidP="0093214A">
      <w:pPr>
        <w:shd w:val="clear" w:color="000000" w:fill="auto"/>
        <w:spacing w:line="360" w:lineRule="auto"/>
        <w:ind w:firstLine="709"/>
        <w:jc w:val="both"/>
        <w:rPr>
          <w:sz w:val="28"/>
          <w:szCs w:val="28"/>
        </w:rPr>
        <w:sectPr w:rsidR="006E2A34" w:rsidSect="0093214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titlePg/>
          <w:docGrid w:linePitch="360"/>
        </w:sectPr>
      </w:pPr>
    </w:p>
    <w:tbl>
      <w:tblPr>
        <w:tblpPr w:leftFromText="45" w:rightFromText="45" w:vertAnchor="text" w:tblpXSpec="cente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173"/>
        <w:gridCol w:w="2622"/>
        <w:gridCol w:w="1710"/>
      </w:tblGrid>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Нефтегазовые месторождения</w:t>
            </w:r>
          </w:p>
          <w:p w:rsidR="0016723A" w:rsidRPr="00D03ED1" w:rsidRDefault="0016723A" w:rsidP="00D03ED1">
            <w:pPr>
              <w:pStyle w:val="1"/>
              <w:framePr w:hSpace="0" w:wrap="auto" w:vAnchor="margin" w:xAlign="left"/>
              <w:rPr>
                <w:b w:val="0"/>
                <w:i w:val="0"/>
              </w:rPr>
            </w:pPr>
            <w:r w:rsidRPr="00D03ED1">
              <w:rPr>
                <w:b w:val="0"/>
                <w:i w:val="0"/>
              </w:rPr>
              <w:t>Украины</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Название</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Количество месторождений</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Запасы</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Нефть, млн. тонн</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133</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146,7</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Газовый конденсат</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151</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80,7</w:t>
            </w:r>
          </w:p>
        </w:tc>
      </w:tr>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Газ природный, млрд. м</w:t>
            </w:r>
            <w:r w:rsidRPr="00D03ED1">
              <w:rPr>
                <w:b w:val="0"/>
                <w:i w:val="0"/>
                <w:vertAlign w:val="superscript"/>
              </w:rPr>
              <w:t>3</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свободный</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241</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1098,5</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растворенный</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104</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37,2</w:t>
            </w:r>
          </w:p>
        </w:tc>
      </w:tr>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Гелий, млн. м</w:t>
            </w:r>
            <w:r w:rsidRPr="00D03ED1">
              <w:rPr>
                <w:b w:val="0"/>
                <w:i w:val="0"/>
                <w:vertAlign w:val="superscript"/>
              </w:rPr>
              <w:t>3</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газа</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60</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218</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нефти</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5</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0,4</w:t>
            </w:r>
          </w:p>
        </w:tc>
      </w:tr>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Этан, млн. тонн</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газа</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68</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56,6</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нефти</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29</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1,4</w:t>
            </w:r>
          </w:p>
        </w:tc>
      </w:tr>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Пропан, млн. тонн</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газа</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68</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30,6</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нефти</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29</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1,3</w:t>
            </w:r>
          </w:p>
        </w:tc>
      </w:tr>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Бутаны, млн. т</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газа</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68</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14,1</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из нефти</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28</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0,8</w:t>
            </w:r>
          </w:p>
        </w:tc>
      </w:tr>
      <w:tr w:rsidR="0016723A" w:rsidRPr="00D03ED1" w:rsidTr="006E2A34">
        <w:trPr>
          <w:jc w:val="center"/>
        </w:trPr>
        <w:tc>
          <w:tcPr>
            <w:tcW w:w="8505" w:type="dxa"/>
            <w:gridSpan w:val="3"/>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Газ природный угольных шахт, млрд. м</w:t>
            </w:r>
            <w:r w:rsidRPr="00D03ED1">
              <w:rPr>
                <w:b w:val="0"/>
                <w:i w:val="0"/>
                <w:vertAlign w:val="superscript"/>
              </w:rPr>
              <w:t>3</w:t>
            </w:r>
          </w:p>
        </w:tc>
      </w:tr>
      <w:tr w:rsidR="0016723A" w:rsidRPr="00D03ED1" w:rsidTr="006E2A34">
        <w:trPr>
          <w:jc w:val="center"/>
        </w:trPr>
        <w:tc>
          <w:tcPr>
            <w:tcW w:w="4173" w:type="dxa"/>
            <w:tcBorders>
              <w:top w:val="outset" w:sz="6" w:space="0" w:color="auto"/>
              <w:bottom w:val="outset" w:sz="6" w:space="0" w:color="auto"/>
              <w:right w:val="outset" w:sz="6" w:space="0" w:color="auto"/>
            </w:tcBorders>
            <w:noWrap/>
            <w:vAlign w:val="center"/>
          </w:tcPr>
          <w:p w:rsidR="0016723A" w:rsidRPr="00D03ED1" w:rsidRDefault="0093214A" w:rsidP="00D03ED1">
            <w:pPr>
              <w:pStyle w:val="1"/>
              <w:framePr w:hSpace="0" w:wrap="auto" w:vAnchor="margin" w:xAlign="left"/>
              <w:rPr>
                <w:b w:val="0"/>
                <w:i w:val="0"/>
              </w:rPr>
            </w:pPr>
            <w:r w:rsidRPr="00D03ED1">
              <w:rPr>
                <w:b w:val="0"/>
                <w:i w:val="0"/>
              </w:rPr>
              <w:t xml:space="preserve"> </w:t>
            </w:r>
          </w:p>
        </w:tc>
        <w:tc>
          <w:tcPr>
            <w:tcW w:w="2622"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127</w:t>
            </w:r>
          </w:p>
        </w:tc>
        <w:tc>
          <w:tcPr>
            <w:tcW w:w="1710" w:type="dxa"/>
            <w:tcBorders>
              <w:top w:val="outset" w:sz="6" w:space="0" w:color="auto"/>
              <w:left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i w:val="0"/>
              </w:rPr>
            </w:pPr>
            <w:r w:rsidRPr="00D03ED1">
              <w:rPr>
                <w:b w:val="0"/>
                <w:i w:val="0"/>
              </w:rPr>
              <w:t>153,7</w:t>
            </w:r>
          </w:p>
        </w:tc>
      </w:tr>
    </w:tbl>
    <w:p w:rsidR="0016723A" w:rsidRPr="0093214A" w:rsidRDefault="0016723A" w:rsidP="0093214A">
      <w:pPr>
        <w:shd w:val="clear" w:color="000000" w:fill="auto"/>
        <w:spacing w:line="360" w:lineRule="auto"/>
        <w:ind w:firstLine="709"/>
        <w:jc w:val="both"/>
        <w:rPr>
          <w:vanish/>
          <w:sz w:val="28"/>
          <w:szCs w:val="28"/>
        </w:rPr>
      </w:pPr>
    </w:p>
    <w:p w:rsidR="00D03ED1" w:rsidRDefault="00D03ED1"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6035BE" w:rsidRDefault="006035BE" w:rsidP="00D03ED1">
      <w:pPr>
        <w:shd w:val="clear" w:color="000000" w:fill="auto"/>
        <w:spacing w:line="360" w:lineRule="auto"/>
        <w:ind w:firstLine="709"/>
        <w:jc w:val="both"/>
        <w:rPr>
          <w:b/>
          <w:bCs/>
          <w:i/>
          <w:iCs/>
          <w:sz w:val="28"/>
          <w:szCs w:val="28"/>
        </w:rPr>
      </w:pPr>
    </w:p>
    <w:p w:rsidR="00D03ED1" w:rsidRPr="0093214A" w:rsidRDefault="00D03ED1" w:rsidP="00D03ED1">
      <w:pPr>
        <w:shd w:val="clear" w:color="000000" w:fill="auto"/>
        <w:spacing w:line="360" w:lineRule="auto"/>
        <w:ind w:firstLine="709"/>
        <w:jc w:val="both"/>
        <w:rPr>
          <w:sz w:val="28"/>
          <w:szCs w:val="28"/>
        </w:rPr>
      </w:pPr>
      <w:r w:rsidRPr="0093214A">
        <w:rPr>
          <w:b/>
          <w:bCs/>
          <w:i/>
          <w:iCs/>
          <w:sz w:val="28"/>
          <w:szCs w:val="28"/>
        </w:rPr>
        <w:t>Буровая вышка</w:t>
      </w:r>
      <w:r w:rsidRPr="0093214A">
        <w:rPr>
          <w:sz w:val="28"/>
          <w:szCs w:val="28"/>
        </w:rPr>
        <w:t xml:space="preserve"> – конусовидная металлическая конструкция, устанавливаемая над стволом скважины и предназначенная для подъёма и опускания в скважину труб и буровых инструментов.</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В Карпатском нефтегазоносном регионе нефть добывают более двух веков, и её запасы здесь значительно истощены. В 1950-х годах были открыты новые месторождения, которые некоторое время поддерживали относительно высокий уровень добычи "чёрного золота". В настоящее время нефтепромыслы эксплуатируются в районах городов Борислава (Львовская область), Долины и Надворной (Ивано-Франковская область). Масштабы добычи нефти здесь незначительны и в связи с существенным сокращением запасов в последние годы не расширяются. В Причерноморско-Крымском нефтегазоносном регионе, расположенном на юге страны, разведаны относительно небольшие месторождения нефти. Некоторые специалисты отмечают сходство геологического строения шельфа Чёрного и Азовского морей с богатыми нефтью регионами Персидского залива и Каспийского моря и даже предрекают в недалёком будущем возможность открытия здесь нефтяных запасов мирового значения.</w:t>
      </w:r>
      <w:r w:rsidR="00D03ED1">
        <w:rPr>
          <w:sz w:val="28"/>
          <w:szCs w:val="28"/>
        </w:rPr>
        <w:t xml:space="preserve"> </w:t>
      </w:r>
      <w:r w:rsidRPr="0093214A">
        <w:rPr>
          <w:sz w:val="28"/>
          <w:szCs w:val="28"/>
        </w:rPr>
        <w:t>В настоящее время Украина не обеспечивает своих нужд в нефти и нефтепродуктах за счёт собственных ресурсов. Большая их часть поступает из Российской Федерации (Западная Сибирь, Поволжье и др.). Потенциал украинских нефтеперерабатывающих заводов (Лисичанского, Кременчугского, Херсонского, Надворнянского, Дрогобычского, Львовского и Бердянского), ориентированных в том числе и на привозное сырьё, уже много лет не используется на полную мощность.</w:t>
      </w:r>
    </w:p>
    <w:p w:rsidR="00D03ED1" w:rsidRDefault="00D03ED1" w:rsidP="0093214A">
      <w:pPr>
        <w:shd w:val="clear" w:color="000000" w:fill="auto"/>
        <w:spacing w:line="360" w:lineRule="auto"/>
        <w:ind w:firstLine="709"/>
        <w:jc w:val="both"/>
        <w:rPr>
          <w:b/>
          <w:bCs/>
          <w:sz w:val="28"/>
          <w:szCs w:val="28"/>
        </w:rPr>
      </w:pPr>
    </w:p>
    <w:p w:rsidR="0016723A" w:rsidRDefault="0016723A" w:rsidP="0093214A">
      <w:pPr>
        <w:shd w:val="clear" w:color="000000" w:fill="auto"/>
        <w:spacing w:line="360" w:lineRule="auto"/>
        <w:ind w:firstLine="709"/>
        <w:jc w:val="both"/>
        <w:rPr>
          <w:b/>
          <w:bCs/>
          <w:sz w:val="28"/>
          <w:szCs w:val="28"/>
        </w:rPr>
      </w:pPr>
      <w:r w:rsidRPr="0093214A">
        <w:rPr>
          <w:b/>
          <w:bCs/>
          <w:sz w:val="28"/>
          <w:szCs w:val="28"/>
        </w:rPr>
        <w:t>Газ Украины</w:t>
      </w:r>
    </w:p>
    <w:p w:rsidR="00D03ED1" w:rsidRPr="0093214A" w:rsidRDefault="00D03ED1" w:rsidP="0093214A">
      <w:pPr>
        <w:shd w:val="clear" w:color="000000" w:fill="auto"/>
        <w:spacing w:line="360" w:lineRule="auto"/>
        <w:ind w:firstLine="709"/>
        <w:jc w:val="both"/>
        <w:rPr>
          <w:sz w:val="28"/>
          <w:szCs w:val="28"/>
        </w:rPr>
      </w:pPr>
    </w:p>
    <w:tbl>
      <w:tblPr>
        <w:tblpPr w:leftFromText="45" w:rightFromText="45" w:vertAnchor="text" w:tblpXSpec="center"/>
        <w:tblW w:w="850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486"/>
        <w:gridCol w:w="797"/>
        <w:gridCol w:w="936"/>
        <w:gridCol w:w="896"/>
        <w:gridCol w:w="797"/>
        <w:gridCol w:w="876"/>
        <w:gridCol w:w="717"/>
      </w:tblGrid>
      <w:tr w:rsidR="0016723A" w:rsidRPr="00D03ED1" w:rsidTr="00D03ED1">
        <w:trPr>
          <w:jc w:val="center"/>
        </w:trPr>
        <w:tc>
          <w:tcPr>
            <w:tcW w:w="6405" w:type="dxa"/>
            <w:gridSpan w:val="7"/>
            <w:tcBorders>
              <w:top w:val="outset" w:sz="6" w:space="0" w:color="auto"/>
              <w:bottom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Добыча газа и нефти в Украине</w:t>
            </w:r>
          </w:p>
        </w:tc>
      </w:tr>
      <w:tr w:rsidR="0016723A" w:rsidRPr="00D03ED1" w:rsidTr="00D03ED1">
        <w:trPr>
          <w:jc w:val="center"/>
        </w:trPr>
        <w:tc>
          <w:tcPr>
            <w:tcW w:w="2625" w:type="dxa"/>
            <w:tcBorders>
              <w:top w:val="outset" w:sz="6" w:space="0" w:color="auto"/>
              <w:bottom w:val="outset" w:sz="6" w:space="0" w:color="auto"/>
              <w:right w:val="outset" w:sz="6" w:space="0" w:color="auto"/>
            </w:tcBorders>
            <w:noWrap/>
            <w:vAlign w:val="center"/>
          </w:tcPr>
          <w:p w:rsidR="0016723A" w:rsidRPr="00D03ED1" w:rsidRDefault="0093214A" w:rsidP="00D03ED1">
            <w:pPr>
              <w:pStyle w:val="1"/>
              <w:framePr w:hSpace="0" w:wrap="auto" w:vAnchor="margin" w:xAlign="left"/>
              <w:rPr>
                <w:b w:val="0"/>
                <w:bCs w:val="0"/>
                <w:i w:val="0"/>
                <w:iCs w:val="0"/>
              </w:rPr>
            </w:pPr>
            <w:r w:rsidRPr="00D03ED1">
              <w:rPr>
                <w:b w:val="0"/>
                <w:bCs w:val="0"/>
                <w:i w:val="0"/>
                <w:iCs w:val="0"/>
              </w:rPr>
              <w:t xml:space="preserve"> </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1960</w:t>
            </w:r>
          </w:p>
        </w:tc>
        <w:tc>
          <w:tcPr>
            <w:tcW w:w="70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1970</w:t>
            </w:r>
          </w:p>
        </w:tc>
        <w:tc>
          <w:tcPr>
            <w:tcW w:w="67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1980</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1991</w:t>
            </w:r>
          </w:p>
        </w:tc>
        <w:tc>
          <w:tcPr>
            <w:tcW w:w="66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1997</w:t>
            </w:r>
          </w:p>
        </w:tc>
        <w:tc>
          <w:tcPr>
            <w:tcW w:w="540" w:type="dxa"/>
            <w:tcBorders>
              <w:top w:val="outset" w:sz="6" w:space="0" w:color="auto"/>
              <w:left w:val="outset" w:sz="6" w:space="0" w:color="auto"/>
              <w:bottom w:val="outset" w:sz="6" w:space="0" w:color="auto"/>
            </w:tcBorders>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2005</w:t>
            </w:r>
          </w:p>
        </w:tc>
      </w:tr>
      <w:tr w:rsidR="0016723A" w:rsidRPr="00D03ED1" w:rsidTr="00D03ED1">
        <w:trPr>
          <w:jc w:val="center"/>
        </w:trPr>
        <w:tc>
          <w:tcPr>
            <w:tcW w:w="2625"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Газ природный, млрд. м</w:t>
            </w:r>
            <w:r w:rsidRPr="00D03ED1">
              <w:rPr>
                <w:b w:val="0"/>
                <w:bCs w:val="0"/>
                <w:i w:val="0"/>
                <w:iCs w:val="0"/>
                <w:vertAlign w:val="superscript"/>
              </w:rPr>
              <w:t>3</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14,3</w:t>
            </w:r>
          </w:p>
        </w:tc>
        <w:tc>
          <w:tcPr>
            <w:tcW w:w="70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58,8</w:t>
            </w:r>
          </w:p>
        </w:tc>
        <w:tc>
          <w:tcPr>
            <w:tcW w:w="67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56,6</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24,2</w:t>
            </w:r>
          </w:p>
        </w:tc>
        <w:tc>
          <w:tcPr>
            <w:tcW w:w="66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18,2</w:t>
            </w:r>
          </w:p>
        </w:tc>
        <w:tc>
          <w:tcPr>
            <w:tcW w:w="540" w:type="dxa"/>
            <w:tcBorders>
              <w:top w:val="outset" w:sz="6" w:space="0" w:color="auto"/>
              <w:left w:val="outset" w:sz="6" w:space="0" w:color="auto"/>
              <w:bottom w:val="outset" w:sz="6" w:space="0" w:color="auto"/>
            </w:tcBorders>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19,9</w:t>
            </w:r>
          </w:p>
        </w:tc>
      </w:tr>
      <w:tr w:rsidR="0016723A" w:rsidRPr="00D03ED1" w:rsidTr="00D03ED1">
        <w:trPr>
          <w:jc w:val="center"/>
        </w:trPr>
        <w:tc>
          <w:tcPr>
            <w:tcW w:w="2625"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Нефть, млн. тонн</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2,16</w:t>
            </w:r>
          </w:p>
        </w:tc>
        <w:tc>
          <w:tcPr>
            <w:tcW w:w="70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13,08</w:t>
            </w:r>
          </w:p>
        </w:tc>
        <w:tc>
          <w:tcPr>
            <w:tcW w:w="67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5,70</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3,95</w:t>
            </w:r>
          </w:p>
        </w:tc>
        <w:tc>
          <w:tcPr>
            <w:tcW w:w="66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2,88</w:t>
            </w:r>
          </w:p>
        </w:tc>
        <w:tc>
          <w:tcPr>
            <w:tcW w:w="540" w:type="dxa"/>
            <w:tcBorders>
              <w:top w:val="outset" w:sz="6" w:space="0" w:color="auto"/>
              <w:left w:val="outset" w:sz="6" w:space="0" w:color="auto"/>
              <w:bottom w:val="outset" w:sz="6" w:space="0" w:color="auto"/>
            </w:tcBorders>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3,1</w:t>
            </w:r>
          </w:p>
        </w:tc>
      </w:tr>
      <w:tr w:rsidR="0016723A" w:rsidRPr="00D03ED1" w:rsidTr="00D03ED1">
        <w:trPr>
          <w:jc w:val="center"/>
        </w:trPr>
        <w:tc>
          <w:tcPr>
            <w:tcW w:w="2625" w:type="dxa"/>
            <w:tcBorders>
              <w:top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Конденсат, млн. тонн</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0,60</w:t>
            </w:r>
          </w:p>
        </w:tc>
        <w:tc>
          <w:tcPr>
            <w:tcW w:w="70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0,95</w:t>
            </w:r>
          </w:p>
        </w:tc>
        <w:tc>
          <w:tcPr>
            <w:tcW w:w="675"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1,75</w:t>
            </w:r>
          </w:p>
        </w:tc>
        <w:tc>
          <w:tcPr>
            <w:tcW w:w="60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0,95</w:t>
            </w:r>
          </w:p>
        </w:tc>
        <w:tc>
          <w:tcPr>
            <w:tcW w:w="660"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1,22</w:t>
            </w:r>
          </w:p>
        </w:tc>
        <w:tc>
          <w:tcPr>
            <w:tcW w:w="540" w:type="dxa"/>
            <w:tcBorders>
              <w:top w:val="outset" w:sz="6" w:space="0" w:color="auto"/>
              <w:left w:val="outset" w:sz="6" w:space="0" w:color="auto"/>
              <w:bottom w:val="outset" w:sz="6" w:space="0" w:color="auto"/>
            </w:tcBorders>
            <w:vAlign w:val="center"/>
          </w:tcPr>
          <w:p w:rsidR="0016723A" w:rsidRPr="00D03ED1" w:rsidRDefault="0016723A" w:rsidP="00D03ED1">
            <w:pPr>
              <w:pStyle w:val="1"/>
              <w:framePr w:hSpace="0" w:wrap="auto" w:vAnchor="margin" w:xAlign="left"/>
              <w:rPr>
                <w:b w:val="0"/>
                <w:bCs w:val="0"/>
                <w:i w:val="0"/>
                <w:iCs w:val="0"/>
              </w:rPr>
            </w:pPr>
            <w:r w:rsidRPr="00D03ED1">
              <w:rPr>
                <w:b w:val="0"/>
                <w:bCs w:val="0"/>
                <w:i w:val="0"/>
                <w:iCs w:val="0"/>
              </w:rPr>
              <w:t>1,29</w:t>
            </w:r>
          </w:p>
        </w:tc>
      </w:tr>
    </w:tbl>
    <w:p w:rsidR="00D03ED1" w:rsidRDefault="00D03ED1" w:rsidP="0093214A">
      <w:pPr>
        <w:shd w:val="clear" w:color="000000" w:fill="auto"/>
        <w:spacing w:line="360" w:lineRule="auto"/>
        <w:ind w:firstLine="709"/>
        <w:jc w:val="both"/>
        <w:rPr>
          <w:sz w:val="28"/>
          <w:szCs w:val="28"/>
        </w:rPr>
      </w:pPr>
    </w:p>
    <w:p w:rsidR="00077C4E" w:rsidRDefault="00077C4E" w:rsidP="0093214A">
      <w:pPr>
        <w:shd w:val="clear" w:color="000000" w:fill="auto"/>
        <w:spacing w:line="360" w:lineRule="auto"/>
        <w:ind w:firstLine="709"/>
        <w:jc w:val="both"/>
        <w:rPr>
          <w:sz w:val="28"/>
          <w:szCs w:val="28"/>
        </w:rPr>
      </w:pPr>
    </w:p>
    <w:p w:rsidR="00077C4E" w:rsidRDefault="00077C4E" w:rsidP="0093214A">
      <w:pPr>
        <w:shd w:val="clear" w:color="000000" w:fill="auto"/>
        <w:spacing w:line="360" w:lineRule="auto"/>
        <w:ind w:firstLine="709"/>
        <w:jc w:val="both"/>
        <w:rPr>
          <w:sz w:val="28"/>
          <w:szCs w:val="28"/>
        </w:rPr>
      </w:pPr>
    </w:p>
    <w:p w:rsidR="00077C4E" w:rsidRDefault="00077C4E" w:rsidP="0093214A">
      <w:pPr>
        <w:shd w:val="clear" w:color="000000" w:fill="auto"/>
        <w:spacing w:line="360" w:lineRule="auto"/>
        <w:ind w:firstLine="709"/>
        <w:jc w:val="both"/>
        <w:rPr>
          <w:sz w:val="28"/>
          <w:szCs w:val="28"/>
        </w:rPr>
      </w:pPr>
    </w:p>
    <w:p w:rsidR="00077C4E" w:rsidRDefault="00077C4E" w:rsidP="0093214A">
      <w:pPr>
        <w:shd w:val="clear" w:color="000000" w:fill="auto"/>
        <w:spacing w:line="360" w:lineRule="auto"/>
        <w:ind w:firstLine="709"/>
        <w:jc w:val="both"/>
        <w:rPr>
          <w:sz w:val="28"/>
          <w:szCs w:val="28"/>
        </w:rPr>
      </w:pPr>
    </w:p>
    <w:p w:rsidR="0016723A" w:rsidRPr="0093214A" w:rsidRDefault="0016723A" w:rsidP="0093214A">
      <w:pPr>
        <w:shd w:val="clear" w:color="000000" w:fill="auto"/>
        <w:spacing w:line="360" w:lineRule="auto"/>
        <w:ind w:firstLine="709"/>
        <w:jc w:val="both"/>
        <w:rPr>
          <w:sz w:val="28"/>
          <w:szCs w:val="28"/>
        </w:rPr>
      </w:pPr>
      <w:r w:rsidRPr="0093214A">
        <w:rPr>
          <w:sz w:val="28"/>
          <w:szCs w:val="28"/>
        </w:rPr>
        <w:t>В отличие от нефти масштабы запасов и добычи природного газа в Украине значительно крупнее. Газовая промышленность</w:t>
      </w:r>
      <w:r w:rsidR="00D03ED1">
        <w:rPr>
          <w:sz w:val="28"/>
          <w:szCs w:val="28"/>
        </w:rPr>
        <w:t xml:space="preserve"> </w:t>
      </w:r>
      <w:r w:rsidRPr="0093214A">
        <w:rPr>
          <w:sz w:val="28"/>
          <w:szCs w:val="28"/>
        </w:rPr>
        <w:t xml:space="preserve">Украины зародилась на Прикарпатье в 1920-е годы. В </w:t>
      </w:r>
      <w:smartTag w:uri="urn:schemas-microsoft-com:office:smarttags" w:element="metricconverter">
        <w:smartTagPr>
          <w:attr w:name="ProductID" w:val="1940 г"/>
        </w:smartTagPr>
        <w:r w:rsidRPr="0093214A">
          <w:rPr>
            <w:sz w:val="28"/>
            <w:szCs w:val="28"/>
          </w:rPr>
          <w:t>1940 г</w:t>
        </w:r>
      </w:smartTag>
      <w:r w:rsidRPr="0093214A">
        <w:rPr>
          <w:sz w:val="28"/>
          <w:szCs w:val="28"/>
        </w:rPr>
        <w:t xml:space="preserve">. в Предкарпатье сосредоточивалось 87% добычи газа всего Советского Союза. Основными газовыми промыслами были Угерско-Бильче-Волицкий (здесь в середине 1960-х годов добывалось почти 60%прикарпатского газа), Рудковско-Ходовицкий, Опарский, Дашавский, Калушский и Косовский участки (расположенные на территории Львовской и Ивано-Франковской областей). Здесь была создана система газопроводов, наиболее протяжённые из которых – Дашава – Киев – Москва, Рудки – Минск – Вильнюс – Рига и др. Постепенно участие западно-украинского региона в газодобыче сокращалась, за счёт быстрого освоения углеводородных месторождений, расположенных в центральной и восточной части СССР. В </w:t>
      </w:r>
      <w:smartTag w:uri="urn:schemas-microsoft-com:office:smarttags" w:element="metricconverter">
        <w:smartTagPr>
          <w:attr w:name="ProductID" w:val="1951 г"/>
        </w:smartTagPr>
        <w:r w:rsidRPr="0093214A">
          <w:rPr>
            <w:sz w:val="28"/>
            <w:szCs w:val="28"/>
          </w:rPr>
          <w:t>1951 г</w:t>
        </w:r>
      </w:smartTag>
      <w:r w:rsidRPr="0093214A">
        <w:rPr>
          <w:sz w:val="28"/>
          <w:szCs w:val="28"/>
        </w:rPr>
        <w:t xml:space="preserve">. в Предкарпатье добывали 42,2%, в </w:t>
      </w:r>
      <w:smartTag w:uri="urn:schemas-microsoft-com:office:smarttags" w:element="metricconverter">
        <w:smartTagPr>
          <w:attr w:name="ProductID" w:val="1957 г"/>
        </w:smartTagPr>
        <w:r w:rsidRPr="0093214A">
          <w:rPr>
            <w:sz w:val="28"/>
            <w:szCs w:val="28"/>
          </w:rPr>
          <w:t>1957 г</w:t>
        </w:r>
      </w:smartTag>
      <w:r w:rsidRPr="0093214A">
        <w:rPr>
          <w:sz w:val="28"/>
          <w:szCs w:val="28"/>
        </w:rPr>
        <w:t xml:space="preserve">. – 26,4%, в </w:t>
      </w:r>
      <w:smartTag w:uri="urn:schemas-microsoft-com:office:smarttags" w:element="metricconverter">
        <w:smartTagPr>
          <w:attr w:name="ProductID" w:val="1965 г"/>
        </w:smartTagPr>
        <w:r w:rsidRPr="0093214A">
          <w:rPr>
            <w:sz w:val="28"/>
            <w:szCs w:val="28"/>
          </w:rPr>
          <w:t>1965 г</w:t>
        </w:r>
      </w:smartTag>
      <w:r w:rsidRPr="0093214A">
        <w:rPr>
          <w:sz w:val="28"/>
          <w:szCs w:val="28"/>
        </w:rPr>
        <w:t xml:space="preserve">. – около 10% газа Советского Союза. В </w:t>
      </w:r>
      <w:smartTag w:uri="urn:schemas-microsoft-com:office:smarttags" w:element="metricconverter">
        <w:smartTagPr>
          <w:attr w:name="ProductID" w:val="1965 г"/>
        </w:smartTagPr>
        <w:r w:rsidRPr="0093214A">
          <w:rPr>
            <w:sz w:val="28"/>
            <w:szCs w:val="28"/>
          </w:rPr>
          <w:t>1965 г</w:t>
        </w:r>
      </w:smartTag>
      <w:r w:rsidRPr="0093214A">
        <w:rPr>
          <w:sz w:val="28"/>
          <w:szCs w:val="28"/>
        </w:rPr>
        <w:t>. добыча газового топлива на западе Украины составлял около 19 млрд. м</w:t>
      </w:r>
      <w:r w:rsidRPr="0093214A">
        <w:rPr>
          <w:sz w:val="28"/>
          <w:szCs w:val="28"/>
          <w:vertAlign w:val="superscript"/>
        </w:rPr>
        <w:t>3</w:t>
      </w:r>
      <w:r w:rsidRPr="0093214A">
        <w:rPr>
          <w:sz w:val="28"/>
          <w:szCs w:val="28"/>
        </w:rPr>
        <w:t xml:space="preserve">. Современная добыча газа в Предкарпатье, сосредоточенная на месторождениях Ивано-Франковской области, незначительна и составляет </w:t>
      </w:r>
      <w:r w:rsidR="00B81FD2" w:rsidRPr="0093214A">
        <w:rPr>
          <w:sz w:val="28"/>
          <w:szCs w:val="28"/>
        </w:rPr>
        <w:t>менее 20% всей газодобычи Украины.</w:t>
      </w:r>
    </w:p>
    <w:tbl>
      <w:tblPr>
        <w:tblpPr w:leftFromText="45" w:rightFromText="45" w:vertAnchor="text" w:horzAnchor="margin" w:tblpXSpec="right" w:tblpY="706"/>
        <w:tblW w:w="8505"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3253"/>
        <w:gridCol w:w="1468"/>
        <w:gridCol w:w="2341"/>
        <w:gridCol w:w="1443"/>
      </w:tblGrid>
      <w:tr w:rsidR="0016723A" w:rsidRPr="00D03ED1" w:rsidTr="00B81FD2">
        <w:tc>
          <w:tcPr>
            <w:tcW w:w="8505" w:type="dxa"/>
            <w:gridSpan w:val="4"/>
            <w:tcBorders>
              <w:top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Месторождения газа Украины</w:t>
            </w:r>
          </w:p>
        </w:tc>
      </w:tr>
      <w:tr w:rsidR="0016723A" w:rsidRPr="00D03ED1" w:rsidTr="00B81FD2">
        <w:tc>
          <w:tcPr>
            <w:tcW w:w="3253" w:type="dxa"/>
            <w:vMerge w:val="restart"/>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Регион</w:t>
            </w:r>
          </w:p>
        </w:tc>
        <w:tc>
          <w:tcPr>
            <w:tcW w:w="3809" w:type="dxa"/>
            <w:gridSpan w:val="2"/>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Количество</w:t>
            </w:r>
          </w:p>
          <w:p w:rsidR="0016723A" w:rsidRPr="00D03ED1" w:rsidRDefault="0016723A" w:rsidP="00B81FD2">
            <w:pPr>
              <w:pStyle w:val="1"/>
              <w:framePr w:hSpace="0" w:wrap="auto" w:vAnchor="margin" w:xAlign="left"/>
              <w:rPr>
                <w:b w:val="0"/>
                <w:bCs w:val="0"/>
                <w:i w:val="0"/>
                <w:iCs w:val="0"/>
              </w:rPr>
            </w:pPr>
            <w:r w:rsidRPr="00D03ED1">
              <w:rPr>
                <w:b w:val="0"/>
                <w:bCs w:val="0"/>
                <w:i w:val="0"/>
                <w:iCs w:val="0"/>
              </w:rPr>
              <w:t>месторождений</w:t>
            </w:r>
          </w:p>
        </w:tc>
        <w:tc>
          <w:tcPr>
            <w:tcW w:w="1443" w:type="dxa"/>
            <w:vMerge w:val="restart"/>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Запасы, млрд. м</w:t>
            </w:r>
            <w:r w:rsidRPr="00D03ED1">
              <w:rPr>
                <w:b w:val="0"/>
                <w:bCs w:val="0"/>
                <w:i w:val="0"/>
                <w:iCs w:val="0"/>
                <w:vertAlign w:val="superscript"/>
              </w:rPr>
              <w:t>3</w:t>
            </w:r>
          </w:p>
        </w:tc>
      </w:tr>
      <w:tr w:rsidR="0016723A" w:rsidRPr="00D03ED1" w:rsidTr="00B81FD2">
        <w:tc>
          <w:tcPr>
            <w:tcW w:w="0" w:type="auto"/>
            <w:vMerge/>
            <w:tcBorders>
              <w:top w:val="outset" w:sz="6" w:space="0" w:color="auto"/>
              <w:bottom w:val="outset" w:sz="6" w:space="0" w:color="auto"/>
              <w:right w:val="outset" w:sz="6" w:space="0" w:color="auto"/>
            </w:tcBorders>
            <w:vAlign w:val="center"/>
          </w:tcPr>
          <w:p w:rsidR="0016723A" w:rsidRPr="00D03ED1" w:rsidRDefault="0016723A" w:rsidP="00B81FD2">
            <w:pPr>
              <w:pStyle w:val="1"/>
              <w:framePr w:hSpace="0" w:wrap="auto" w:vAnchor="margin" w:xAlign="left"/>
              <w:rPr>
                <w:b w:val="0"/>
                <w:bCs w:val="0"/>
                <w:i w:val="0"/>
                <w:iCs w:val="0"/>
              </w:rPr>
            </w:pP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Открыто</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D03ED1" w:rsidP="00B81FD2">
            <w:pPr>
              <w:pStyle w:val="1"/>
              <w:framePr w:hSpace="0" w:wrap="auto" w:vAnchor="margin" w:xAlign="left"/>
              <w:rPr>
                <w:b w:val="0"/>
                <w:bCs w:val="0"/>
                <w:i w:val="0"/>
                <w:iCs w:val="0"/>
              </w:rPr>
            </w:pPr>
            <w:r w:rsidRPr="00D03ED1">
              <w:rPr>
                <w:b w:val="0"/>
                <w:bCs w:val="0"/>
                <w:i w:val="0"/>
                <w:iCs w:val="0"/>
              </w:rPr>
              <w:t>Разрабатывается</w:t>
            </w:r>
          </w:p>
        </w:tc>
        <w:tc>
          <w:tcPr>
            <w:tcW w:w="0" w:type="auto"/>
            <w:vMerge/>
            <w:tcBorders>
              <w:top w:val="outset" w:sz="6" w:space="0" w:color="auto"/>
              <w:left w:val="outset" w:sz="6" w:space="0" w:color="auto"/>
              <w:bottom w:val="outset" w:sz="6" w:space="0" w:color="auto"/>
            </w:tcBorders>
            <w:vAlign w:val="center"/>
          </w:tcPr>
          <w:p w:rsidR="0016723A" w:rsidRPr="00D03ED1" w:rsidRDefault="0016723A" w:rsidP="00B81FD2">
            <w:pPr>
              <w:pStyle w:val="1"/>
              <w:framePr w:hSpace="0" w:wrap="auto" w:vAnchor="margin" w:xAlign="left"/>
              <w:rPr>
                <w:b w:val="0"/>
                <w:bCs w:val="0"/>
                <w:i w:val="0"/>
                <w:iCs w:val="0"/>
              </w:rPr>
            </w:pP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Полтавская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62</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32</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634,4</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Харьковская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41</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21</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402,5</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АР Крым</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23</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108,3</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Львовская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30</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20</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101,2</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Сумская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18</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15</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82,6</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Ивано-Франковская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20</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16</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31,6</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Днепропетровская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13</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10</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21,6</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Черниговская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9</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5</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13,0</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Луганская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11</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7</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11,8</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Волынская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7,7</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Запорожская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93214A" w:rsidP="00B81FD2">
            <w:pPr>
              <w:pStyle w:val="1"/>
              <w:framePr w:hSpace="0" w:wrap="auto" w:vAnchor="margin" w:xAlign="left"/>
              <w:rPr>
                <w:b w:val="0"/>
                <w:bCs w:val="0"/>
                <w:i w:val="0"/>
                <w:iCs w:val="0"/>
              </w:rPr>
            </w:pPr>
            <w:r w:rsidRPr="00D03ED1">
              <w:rPr>
                <w:b w:val="0"/>
                <w:bCs w:val="0"/>
                <w:i w:val="0"/>
                <w:iCs w:val="0"/>
              </w:rPr>
              <w:t xml:space="preserve"> </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6,7</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Закарпатская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4</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3,3</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Херсонская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2,3</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Черновицкая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5</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1,6</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Донецкая</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1,2</w:t>
            </w:r>
          </w:p>
        </w:tc>
      </w:tr>
      <w:tr w:rsidR="0016723A" w:rsidRPr="00D03ED1" w:rsidTr="00B81FD2">
        <w:tc>
          <w:tcPr>
            <w:tcW w:w="3253" w:type="dxa"/>
            <w:tcBorders>
              <w:top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Украина</w:t>
            </w:r>
          </w:p>
        </w:tc>
        <w:tc>
          <w:tcPr>
            <w:tcW w:w="1468"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241</w:t>
            </w:r>
          </w:p>
        </w:tc>
        <w:tc>
          <w:tcPr>
            <w:tcW w:w="2341" w:type="dxa"/>
            <w:tcBorders>
              <w:top w:val="outset" w:sz="6" w:space="0" w:color="auto"/>
              <w:left w:val="outset" w:sz="6" w:space="0" w:color="auto"/>
              <w:bottom w:val="outset" w:sz="6" w:space="0" w:color="auto"/>
              <w:right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131</w:t>
            </w:r>
          </w:p>
        </w:tc>
        <w:tc>
          <w:tcPr>
            <w:tcW w:w="1443" w:type="dxa"/>
            <w:tcBorders>
              <w:top w:val="outset" w:sz="6" w:space="0" w:color="auto"/>
              <w:left w:val="outset" w:sz="6" w:space="0" w:color="auto"/>
              <w:bottom w:val="outset" w:sz="6" w:space="0" w:color="auto"/>
            </w:tcBorders>
            <w:noWrap/>
            <w:vAlign w:val="center"/>
          </w:tcPr>
          <w:p w:rsidR="0016723A" w:rsidRPr="00D03ED1" w:rsidRDefault="0016723A" w:rsidP="00B81FD2">
            <w:pPr>
              <w:pStyle w:val="1"/>
              <w:framePr w:hSpace="0" w:wrap="auto" w:vAnchor="margin" w:xAlign="left"/>
              <w:rPr>
                <w:b w:val="0"/>
                <w:bCs w:val="0"/>
                <w:i w:val="0"/>
                <w:iCs w:val="0"/>
              </w:rPr>
            </w:pPr>
            <w:r w:rsidRPr="00D03ED1">
              <w:rPr>
                <w:b w:val="0"/>
                <w:bCs w:val="0"/>
                <w:i w:val="0"/>
                <w:iCs w:val="0"/>
              </w:rPr>
              <w:t>1429,8</w:t>
            </w:r>
          </w:p>
        </w:tc>
      </w:tr>
    </w:tbl>
    <w:p w:rsidR="00D03ED1" w:rsidRDefault="00D03ED1"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B81FD2" w:rsidRDefault="00B81FD2" w:rsidP="0093214A">
      <w:pPr>
        <w:shd w:val="clear" w:color="000000" w:fill="auto"/>
        <w:spacing w:line="360" w:lineRule="auto"/>
        <w:ind w:firstLine="709"/>
        <w:jc w:val="both"/>
        <w:rPr>
          <w:sz w:val="28"/>
          <w:szCs w:val="28"/>
        </w:rPr>
      </w:pPr>
    </w:p>
    <w:p w:rsidR="0016723A" w:rsidRPr="0093214A" w:rsidRDefault="0016723A" w:rsidP="0093214A">
      <w:pPr>
        <w:shd w:val="clear" w:color="000000" w:fill="auto"/>
        <w:spacing w:line="360" w:lineRule="auto"/>
        <w:ind w:firstLine="709"/>
        <w:jc w:val="both"/>
        <w:rPr>
          <w:sz w:val="28"/>
          <w:szCs w:val="28"/>
        </w:rPr>
      </w:pPr>
      <w:r w:rsidRPr="0093214A">
        <w:rPr>
          <w:sz w:val="28"/>
          <w:szCs w:val="28"/>
        </w:rPr>
        <w:t>В 1960-е годы газовая промышленность начала интенсивно развиваться в пределах Днепровско-Донецкой впадины. Основные месторождения газа сосредоточены здесь в Полтавской и Харьковской областях. Наиболее известное из них – Шебелинское, откуда в своё время в разных направлениях были проложены газопроводы: Шебелинка – Харьков, Шебелинка – Полтава – Киев, Шебелинка – Днепропетровск – Кривой Рог – Одесса – Кишинев,</w:t>
      </w:r>
      <w:r w:rsidR="00D03ED1">
        <w:rPr>
          <w:sz w:val="28"/>
          <w:szCs w:val="28"/>
        </w:rPr>
        <w:t xml:space="preserve"> </w:t>
      </w:r>
      <w:r w:rsidRPr="0093214A">
        <w:rPr>
          <w:sz w:val="28"/>
          <w:szCs w:val="28"/>
        </w:rPr>
        <w:t>Шебелинка – Белгород – Курск – Брянск – Москва.</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Значительные месторождения природного газа открыты на юге страны, в равнинной части Крымского полуострова и прилегающих к ней участках шельфа Чёрного и Азовского морей.</w:t>
      </w:r>
      <w:r w:rsidR="00D03ED1">
        <w:rPr>
          <w:sz w:val="28"/>
          <w:szCs w:val="28"/>
        </w:rPr>
        <w:t xml:space="preserve"> </w:t>
      </w:r>
      <w:r w:rsidRPr="0093214A">
        <w:rPr>
          <w:sz w:val="28"/>
          <w:szCs w:val="28"/>
        </w:rPr>
        <w:t>Сооружён газопровод Глебовка – Симферополь – Севастополь с ответвлением к Ялте, Евпатории и Сакам.</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По мнению ряда специалистов, Украина имеет большие перспективные площади, где возможно открытие месторождений углеводородного сырья (особенно газа) мирового масштаба. Прежде всего, такие предположения и надежды (о наибольших в мире запасах природного газа) относятся к северной (украинской) части шельфа Чёрного моря. В качестве одного из аргументов приводится факт, что Чёрное море – это единственный морской водоём в мире, где толща воды от дна до глубин 150-</w:t>
      </w:r>
      <w:smartTag w:uri="urn:schemas-microsoft-com:office:smarttags" w:element="metricconverter">
        <w:smartTagPr>
          <w:attr w:name="ProductID" w:val="50 м"/>
        </w:smartTagPr>
        <w:r w:rsidRPr="0093214A">
          <w:rPr>
            <w:sz w:val="28"/>
            <w:szCs w:val="28"/>
          </w:rPr>
          <w:t>50 м</w:t>
        </w:r>
      </w:smartTag>
      <w:r w:rsidRPr="0093214A">
        <w:rPr>
          <w:sz w:val="28"/>
          <w:szCs w:val="28"/>
        </w:rPr>
        <w:t xml:space="preserve"> заполнена сероводородом. Высказываются догадки, что под дном моря накопилось огромное количество природного газа, который по разломам проходит к воде и насыщает её и дело лишь за малым – научиться его оттуда извлекать</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Газовая отрасль - одна из важнейших и проблемных составляющих топливно-энергетического ко</w:t>
      </w:r>
      <w:r w:rsidR="00D03ED1">
        <w:rPr>
          <w:sz w:val="28"/>
          <w:szCs w:val="28"/>
        </w:rPr>
        <w:t>мплекса Украины. Но, не</w:t>
      </w:r>
      <w:r w:rsidRPr="0093214A">
        <w:rPr>
          <w:sz w:val="28"/>
          <w:szCs w:val="28"/>
        </w:rPr>
        <w:t>смотря на высокие кредитные рейтинги НАК «Нафтогаз», в какой-то момент национальная компания из предмета гордости превратилась в проблемную компанию. Рассмотрим причины возникновения «проблемности» газовой сфере в Украине, на самом ли деле ситуация c обеспечением потребителей страны настолько критическая и безвыходная, какой её видят некоторые эксперты.</w:t>
      </w:r>
      <w:r w:rsidR="0093214A">
        <w:rPr>
          <w:sz w:val="28"/>
          <w:szCs w:val="28"/>
        </w:rPr>
        <w:t xml:space="preserve"> </w:t>
      </w:r>
      <w:r w:rsidRPr="0093214A">
        <w:rPr>
          <w:sz w:val="28"/>
          <w:szCs w:val="28"/>
        </w:rPr>
        <w:t>Переход от стабилизации к росту добычи газа, наращиванию объемов транспортировки, рыночные цены, открытость рынка (включая его участников)</w:t>
      </w:r>
      <w:r w:rsidR="0093214A">
        <w:rPr>
          <w:sz w:val="28"/>
          <w:szCs w:val="28"/>
        </w:rPr>
        <w:t xml:space="preserve"> </w:t>
      </w:r>
      <w:r w:rsidRPr="0093214A">
        <w:rPr>
          <w:sz w:val="28"/>
          <w:szCs w:val="28"/>
        </w:rPr>
        <w:t xml:space="preserve">и ряд других качественных изменений на внутреннем газовом рынке могли бы превратить проблемную отрасль в визитную карточку станы. </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xml:space="preserve">В Энергетической стратегии до 2030 года красиво расписаны основные стратегические цели развития газовой промышленности: </w:t>
      </w:r>
    </w:p>
    <w:p w:rsidR="0016723A" w:rsidRPr="0093214A" w:rsidRDefault="0016723A" w:rsidP="0093214A">
      <w:pPr>
        <w:numPr>
          <w:ilvl w:val="0"/>
          <w:numId w:val="1"/>
        </w:numPr>
        <w:shd w:val="clear" w:color="000000" w:fill="auto"/>
        <w:spacing w:line="360" w:lineRule="auto"/>
        <w:ind w:left="0" w:firstLine="709"/>
        <w:jc w:val="both"/>
        <w:rPr>
          <w:sz w:val="28"/>
          <w:szCs w:val="28"/>
        </w:rPr>
      </w:pPr>
      <w:r w:rsidRPr="0093214A">
        <w:rPr>
          <w:sz w:val="28"/>
          <w:szCs w:val="28"/>
        </w:rPr>
        <w:t>стабильное, бесперебойное и экономически эффективное обеспечение внутреннего спроса природный и сжиженный газ;</w:t>
      </w:r>
    </w:p>
    <w:p w:rsidR="0016723A" w:rsidRPr="0093214A" w:rsidRDefault="0016723A" w:rsidP="0093214A">
      <w:pPr>
        <w:numPr>
          <w:ilvl w:val="0"/>
          <w:numId w:val="1"/>
        </w:numPr>
        <w:shd w:val="clear" w:color="000000" w:fill="auto"/>
        <w:spacing w:line="360" w:lineRule="auto"/>
        <w:ind w:left="0" w:firstLine="709"/>
        <w:jc w:val="both"/>
        <w:rPr>
          <w:sz w:val="28"/>
          <w:szCs w:val="28"/>
        </w:rPr>
      </w:pPr>
      <w:r w:rsidRPr="0093214A">
        <w:rPr>
          <w:sz w:val="28"/>
          <w:szCs w:val="28"/>
        </w:rPr>
        <w:t xml:space="preserve">увеличение объемов собственной добычи газа и уменьшение зависимости от внешних поставок энергоресурсов; </w:t>
      </w:r>
    </w:p>
    <w:p w:rsidR="0016723A" w:rsidRPr="0093214A" w:rsidRDefault="0016723A" w:rsidP="0093214A">
      <w:pPr>
        <w:numPr>
          <w:ilvl w:val="0"/>
          <w:numId w:val="1"/>
        </w:numPr>
        <w:shd w:val="clear" w:color="000000" w:fill="auto"/>
        <w:spacing w:line="360" w:lineRule="auto"/>
        <w:ind w:left="0" w:firstLine="709"/>
        <w:jc w:val="both"/>
        <w:rPr>
          <w:sz w:val="28"/>
          <w:szCs w:val="28"/>
        </w:rPr>
      </w:pPr>
      <w:r w:rsidRPr="0093214A">
        <w:rPr>
          <w:sz w:val="28"/>
          <w:szCs w:val="28"/>
        </w:rPr>
        <w:t>эффективное использование геополитического потенциала Украины как одного из крупнейших государств-транзитеров углеводородного сырья.</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О том, насколько реальными являются эти планы, сказано уже немало. Попробуем и мы трезво оценить перспективы Украины в этой сфере и наметить пути достижения вышеупомянутых целей.</w:t>
      </w:r>
    </w:p>
    <w:p w:rsidR="00D03ED1" w:rsidRDefault="00D03ED1" w:rsidP="0093214A">
      <w:pPr>
        <w:pStyle w:val="a3"/>
        <w:shd w:val="clear" w:color="000000" w:fill="auto"/>
        <w:spacing w:before="0" w:beforeAutospacing="0" w:after="0" w:afterAutospacing="0" w:line="360" w:lineRule="auto"/>
        <w:ind w:firstLine="709"/>
        <w:jc w:val="both"/>
        <w:rPr>
          <w:rStyle w:val="a4"/>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rStyle w:val="a4"/>
          <w:sz w:val="28"/>
          <w:szCs w:val="28"/>
        </w:rPr>
        <w:t>Зависимость страны от импортированного газа</w:t>
      </w:r>
    </w:p>
    <w:p w:rsidR="00D03ED1" w:rsidRDefault="00D03ED1" w:rsidP="0093214A">
      <w:pPr>
        <w:pStyle w:val="a3"/>
        <w:shd w:val="clear" w:color="000000" w:fill="auto"/>
        <w:spacing w:before="0" w:beforeAutospacing="0" w:after="0" w:afterAutospacing="0" w:line="360" w:lineRule="auto"/>
        <w:ind w:firstLine="709"/>
        <w:jc w:val="both"/>
        <w:rPr>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Украина потребляет около 78 млрд. м3 природного газа в год, обеспечивая себя газом собственного производства лишь в объёме 20 млрд. м3, то есть на 25%.</w:t>
      </w:r>
      <w:r w:rsidR="0093214A" w:rsidRPr="0093214A">
        <w:rPr>
          <w:sz w:val="28"/>
          <w:szCs w:val="28"/>
        </w:rPr>
        <w:t xml:space="preserve"> </w:t>
      </w:r>
      <w:r w:rsidRPr="0093214A">
        <w:rPr>
          <w:sz w:val="28"/>
          <w:szCs w:val="28"/>
        </w:rPr>
        <w:t>Изменение среднегодового потребления газа за период 1988 – 2005 гг. в Украине имеет такую картину (млрд. м3</w:t>
      </w:r>
    </w:p>
    <w:p w:rsidR="00D03ED1" w:rsidRDefault="00D03ED1" w:rsidP="0093214A">
      <w:pPr>
        <w:pStyle w:val="a3"/>
        <w:shd w:val="clear" w:color="000000" w:fill="auto"/>
        <w:spacing w:before="0" w:beforeAutospacing="0" w:after="0" w:afterAutospacing="0" w:line="360" w:lineRule="auto"/>
        <w:ind w:firstLine="709"/>
        <w:jc w:val="both"/>
        <w:rPr>
          <w:rStyle w:val="a4"/>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rStyle w:val="a4"/>
          <w:sz w:val="28"/>
          <w:szCs w:val="28"/>
        </w:rPr>
        <w:t>Внешний фактор</w:t>
      </w:r>
    </w:p>
    <w:p w:rsidR="00D03ED1" w:rsidRDefault="00D03ED1" w:rsidP="0093214A">
      <w:pPr>
        <w:pStyle w:val="a3"/>
        <w:shd w:val="clear" w:color="000000" w:fill="auto"/>
        <w:spacing w:before="0" w:beforeAutospacing="0" w:after="0" w:afterAutospacing="0" w:line="360" w:lineRule="auto"/>
        <w:ind w:firstLine="709"/>
        <w:jc w:val="both"/>
        <w:rPr>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В 2006 году отношения в газовой сфере между Газпромом и НАК</w:t>
      </w:r>
      <w:r w:rsidR="0093214A">
        <w:rPr>
          <w:sz w:val="28"/>
          <w:szCs w:val="28"/>
        </w:rPr>
        <w:t xml:space="preserve"> </w:t>
      </w:r>
      <w:r w:rsidRPr="0093214A">
        <w:rPr>
          <w:sz w:val="28"/>
          <w:szCs w:val="28"/>
        </w:rPr>
        <w:t>«Нефтегаз Украины» регламентировались Долгосрочным Контрактом об объемах и условиях транзита российского природного газа через территорию Украины на период с 2003 по 2013 года, соответствующим дополнением к нему на 2006 год и трехсторонним Соглашением ОАО «Газпром» с компанией «ROSUKRENERGO» и НАК</w:t>
      </w:r>
      <w:r w:rsidR="0093214A">
        <w:rPr>
          <w:sz w:val="28"/>
          <w:szCs w:val="28"/>
        </w:rPr>
        <w:t xml:space="preserve"> </w:t>
      </w:r>
      <w:r w:rsidRPr="0093214A">
        <w:rPr>
          <w:sz w:val="28"/>
          <w:szCs w:val="28"/>
        </w:rPr>
        <w:t>«Нафтогаз Украины». В качестве поставщика природного газа в Украину с 1 января 2006 года определена компания «ROSUKRENERGO». Для реализации на внутреннем рынке Украины природного газа, поступающего с территории Российской Федерации, 2 февраля 2006 года НАК</w:t>
      </w:r>
      <w:r w:rsidR="0093214A">
        <w:rPr>
          <w:sz w:val="28"/>
          <w:szCs w:val="28"/>
        </w:rPr>
        <w:t xml:space="preserve"> </w:t>
      </w:r>
      <w:r w:rsidRPr="0093214A">
        <w:rPr>
          <w:sz w:val="28"/>
          <w:szCs w:val="28"/>
        </w:rPr>
        <w:t>«Нафтогаз Украины» и компания «ROSUKRENERGO» создали совместное предприятие (СП) ЗАО «Укргаз Энерго». Цена поставки газа компанией «ROSUKRENERGO» для потребителей Украины формируется исходя из цен на газ, закупаемый в Туркменистане и России.</w:t>
      </w:r>
    </w:p>
    <w:p w:rsidR="00D03ED1" w:rsidRDefault="00D03ED1" w:rsidP="0093214A">
      <w:pPr>
        <w:pStyle w:val="a3"/>
        <w:shd w:val="clear" w:color="000000" w:fill="auto"/>
        <w:spacing w:before="0" w:beforeAutospacing="0" w:after="0" w:afterAutospacing="0" w:line="360" w:lineRule="auto"/>
        <w:ind w:firstLine="709"/>
        <w:jc w:val="both"/>
        <w:rPr>
          <w:rStyle w:val="a4"/>
          <w:sz w:val="28"/>
          <w:szCs w:val="28"/>
        </w:rPr>
      </w:pPr>
    </w:p>
    <w:p w:rsidR="0016723A" w:rsidRPr="0093214A" w:rsidRDefault="00D03ED1" w:rsidP="0093214A">
      <w:pPr>
        <w:pStyle w:val="a3"/>
        <w:shd w:val="clear" w:color="000000" w:fill="auto"/>
        <w:spacing w:before="0" w:beforeAutospacing="0" w:after="0" w:afterAutospacing="0" w:line="360" w:lineRule="auto"/>
        <w:ind w:firstLine="709"/>
        <w:jc w:val="both"/>
        <w:rPr>
          <w:sz w:val="28"/>
          <w:szCs w:val="28"/>
        </w:rPr>
      </w:pPr>
      <w:r>
        <w:rPr>
          <w:rStyle w:val="a4"/>
          <w:sz w:val="28"/>
          <w:szCs w:val="28"/>
        </w:rPr>
        <w:t>Управление потреблением,</w:t>
      </w:r>
      <w:r w:rsidR="0016723A" w:rsidRPr="0093214A">
        <w:rPr>
          <w:rStyle w:val="a4"/>
          <w:sz w:val="28"/>
          <w:szCs w:val="28"/>
        </w:rPr>
        <w:t xml:space="preserve"> энергоэффективность</w:t>
      </w:r>
    </w:p>
    <w:p w:rsidR="00D03ED1" w:rsidRDefault="00D03ED1" w:rsidP="0093214A">
      <w:pPr>
        <w:pStyle w:val="a3"/>
        <w:shd w:val="clear" w:color="000000" w:fill="auto"/>
        <w:spacing w:before="0" w:beforeAutospacing="0" w:after="0" w:afterAutospacing="0" w:line="360" w:lineRule="auto"/>
        <w:ind w:firstLine="709"/>
        <w:jc w:val="both"/>
        <w:rPr>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Учитывая тенденцию к проведению Россией политики повышения цен на экспортируемые энергоресурсы Украине необходимо уже сейчас решать вопросы, которые долгое время откладывались в связи с их политической непопулярностью. Среди них:</w:t>
      </w:r>
      <w:r w:rsidR="0093214A">
        <w:rPr>
          <w:sz w:val="28"/>
          <w:szCs w:val="28"/>
        </w:rPr>
        <w:t xml:space="preserve"> </w:t>
      </w:r>
      <w:r w:rsidRPr="0093214A">
        <w:rPr>
          <w:sz w:val="28"/>
          <w:szCs w:val="28"/>
        </w:rPr>
        <w:t>- энергоэффективность;</w:t>
      </w:r>
      <w:r w:rsidR="0093214A">
        <w:rPr>
          <w:sz w:val="28"/>
          <w:szCs w:val="28"/>
        </w:rPr>
        <w:t xml:space="preserve"> </w:t>
      </w:r>
      <w:r w:rsidRPr="0093214A">
        <w:rPr>
          <w:sz w:val="28"/>
          <w:szCs w:val="28"/>
        </w:rPr>
        <w:t>- цены на газ.</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Но, присмотревшись к этим двум проблемам, можно сделать вывод, что проблема на самом деле существует всего одна. Проблема экономически обоснованных цен,</w:t>
      </w:r>
      <w:r w:rsidR="00D03ED1">
        <w:rPr>
          <w:sz w:val="28"/>
          <w:szCs w:val="28"/>
        </w:rPr>
        <w:t xml:space="preserve"> решает проблему энергоэффективно</w:t>
      </w:r>
      <w:r w:rsidRPr="0093214A">
        <w:rPr>
          <w:sz w:val="28"/>
          <w:szCs w:val="28"/>
        </w:rPr>
        <w:t xml:space="preserve">сти, из-за отсутствия которой наша страна, наряду с Россией, занимает одну из лидирующих позиций в мире по энергоемкости ВВП. </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Решению этого вопроса мешает то,</w:t>
      </w:r>
      <w:r w:rsidR="0093214A">
        <w:rPr>
          <w:sz w:val="28"/>
          <w:szCs w:val="28"/>
        </w:rPr>
        <w:t xml:space="preserve"> </w:t>
      </w:r>
      <w:r w:rsidRPr="0093214A">
        <w:rPr>
          <w:sz w:val="28"/>
          <w:szCs w:val="28"/>
        </w:rPr>
        <w:t>что руководство страны постоянно ищет всевозможные пути выхода из ситуации путем «затыкания дыр» или административными методами. Так, для решения проблемы энергоэффективности было создано Национальное агентство Украины по вопросам обеспечения эффективного использования энергетических ресурсов, одной из задач которого было определено создание нормативов энергопотребления (установление лимитов, санкции за их превышение). Для более эффективного решения поставленных задач, в управление агентству предоставили Государственную инспекцию по вопросам энергосбережения (до этого была под руководством Минтопэнерго).</w:t>
      </w:r>
      <w:r w:rsidR="0093214A" w:rsidRPr="0093214A">
        <w:rPr>
          <w:sz w:val="28"/>
          <w:szCs w:val="28"/>
        </w:rPr>
        <w:t xml:space="preserve"> </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Так же одновременно правительство ищет другие пути решения энергетической проблемы, один из которых - переговоры с Россией, направленные на сохранение цены на газ на как можно более низком уровне. Переговорный процесс необходим, но при этом нужно учитывать возможности страны, а так же принимать во внимание, что переговоры - это временное решение проблемы уровня цены на газ,</w:t>
      </w:r>
      <w:r w:rsidR="0093214A">
        <w:rPr>
          <w:sz w:val="28"/>
          <w:szCs w:val="28"/>
        </w:rPr>
        <w:t xml:space="preserve"> </w:t>
      </w:r>
      <w:r w:rsidRPr="0093214A">
        <w:rPr>
          <w:sz w:val="28"/>
          <w:szCs w:val="28"/>
        </w:rPr>
        <w:t xml:space="preserve">и часто оно принимается взамен на политические уступки, которые не сразу стают явными для широкой публики, а иногда и для неквалифицированных переговорщиков. </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Например, Европа, которая</w:t>
      </w:r>
      <w:r w:rsidR="0093214A">
        <w:rPr>
          <w:sz w:val="28"/>
          <w:szCs w:val="28"/>
        </w:rPr>
        <w:t xml:space="preserve"> </w:t>
      </w:r>
      <w:r w:rsidRPr="0093214A">
        <w:rPr>
          <w:sz w:val="28"/>
          <w:szCs w:val="28"/>
        </w:rPr>
        <w:t xml:space="preserve">так же существенно зависит от поставок российского газа, она предпринимает ряд мер по минимизации рисков. Большинство этих методов основываются на рыночном подходе. Поэтому, по нашему мнению, Украине для существенного повышения эффективности использования газа и уменьшения энергопотребления на единицу ВВП необходимо реформирование рынка и ценообразования газа в соответствии с требованиями Европейской газовой директивы 2003 года. </w:t>
      </w:r>
    </w:p>
    <w:p w:rsidR="006E2A34" w:rsidRDefault="006E2A34" w:rsidP="0093214A">
      <w:pPr>
        <w:pStyle w:val="a3"/>
        <w:shd w:val="clear" w:color="000000" w:fill="auto"/>
        <w:spacing w:before="0" w:beforeAutospacing="0" w:after="0" w:afterAutospacing="0" w:line="360" w:lineRule="auto"/>
        <w:ind w:firstLine="709"/>
        <w:jc w:val="both"/>
        <w:rPr>
          <w:rStyle w:val="a4"/>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rStyle w:val="a4"/>
          <w:sz w:val="28"/>
          <w:szCs w:val="28"/>
        </w:rPr>
        <w:t>Перспективы добычи газа</w:t>
      </w:r>
    </w:p>
    <w:p w:rsidR="00D03ED1" w:rsidRDefault="00D03ED1" w:rsidP="0093214A">
      <w:pPr>
        <w:pStyle w:val="a3"/>
        <w:shd w:val="clear" w:color="000000" w:fill="auto"/>
        <w:spacing w:before="0" w:beforeAutospacing="0" w:after="0" w:afterAutospacing="0" w:line="360" w:lineRule="auto"/>
        <w:ind w:firstLine="709"/>
        <w:jc w:val="both"/>
        <w:rPr>
          <w:sz w:val="28"/>
          <w:szCs w:val="28"/>
        </w:rPr>
      </w:pPr>
    </w:p>
    <w:p w:rsidR="006C4A9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xml:space="preserve">Возможность собственной добычи газа определяется в первую очередь объемами разведанных извлекаемых запасов углеводородов. На 01.01.2006 г. предприятия НАК “Нафтогаз" имели 184 лицензии на промышленную разработку месторождений нефти и газа и 158 лицензий на геологическое изучение и опытно-промышленную разработку недр. На государственном балансе по предприятиям Компании числятся текущие разведанные добычные запасы </w:t>
      </w:r>
      <w:r w:rsidR="006C4A9A">
        <w:rPr>
          <w:sz w:val="28"/>
          <w:szCs w:val="28"/>
        </w:rPr>
        <w:t>в объеме 924 млрд. куб. м газа.</w:t>
      </w:r>
    </w:p>
    <w:p w:rsidR="006C4A9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Оценка и аудит запасов основных месторождений, проведенные по международным стандартам, показали, что фактические суммарные запасы составляют только 85% от тех, которые находятся на балансе, из них рентабельная часть запасов еще меньше.</w:t>
      </w:r>
      <w:r w:rsidR="0093214A">
        <w:rPr>
          <w:sz w:val="28"/>
          <w:szCs w:val="28"/>
        </w:rPr>
        <w:t xml:space="preserve"> </w:t>
      </w:r>
      <w:r w:rsidRPr="0093214A">
        <w:rPr>
          <w:sz w:val="28"/>
          <w:szCs w:val="28"/>
        </w:rPr>
        <w:t>Это указывает на то, что имеющиеся достоверные запасы не могут обеспечить стабилизаци</w:t>
      </w:r>
      <w:r w:rsidR="006C4A9A">
        <w:rPr>
          <w:sz w:val="28"/>
          <w:szCs w:val="28"/>
        </w:rPr>
        <w:t>ю и тем более рост добычи газа.</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xml:space="preserve">В связи с этим стоит задача наращивания объемов геологоразведочных работ и прироста достоверных запасов углеводородов (неразведанные ресурсы углеводородов составляют около 5468,3 млн. т у.т., из них 30% неразведанных ресурсов газа приходятся на акватории Черного и Азовского морей.) </w:t>
      </w:r>
      <w:r w:rsidR="0093214A">
        <w:rPr>
          <w:sz w:val="28"/>
          <w:szCs w:val="28"/>
        </w:rPr>
        <w:t xml:space="preserve"> </w:t>
      </w:r>
      <w:r w:rsidRPr="0093214A">
        <w:rPr>
          <w:sz w:val="28"/>
          <w:szCs w:val="28"/>
        </w:rPr>
        <w:t>В украинском секторе Черного и Азовского морей открыто 14 газовых и газоконденсатных месторождений, 3 из них находятся в промышленной разработке и 3 - в опытно-промышленной эксплуатации. В 2005 году добыча газа из месторождений украинского шельфа составила 1226,96 млн. куб. м, в 2006 году ожидается на уровне 1250 млн. куб. м газа. Перспективы обещающие, но реальность такова, что с 1992-2005 гг. объемы добычи газа НАК «Нефтегаз» находились практически на одном же уровне, колебания составляют +- 2%, а в 2005 году эта цифра составила 19,2 млрд. м3.</w:t>
      </w:r>
    </w:p>
    <w:p w:rsidR="006E2A34" w:rsidRDefault="006E2A34" w:rsidP="0093214A">
      <w:pPr>
        <w:pStyle w:val="a3"/>
        <w:shd w:val="clear" w:color="000000" w:fill="auto"/>
        <w:spacing w:before="0" w:beforeAutospacing="0" w:after="0" w:afterAutospacing="0" w:line="360" w:lineRule="auto"/>
        <w:ind w:firstLine="709"/>
        <w:jc w:val="both"/>
        <w:rPr>
          <w:rStyle w:val="a4"/>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rStyle w:val="a4"/>
          <w:sz w:val="28"/>
          <w:szCs w:val="28"/>
        </w:rPr>
        <w:t>Регулирование газового сектора</w:t>
      </w:r>
    </w:p>
    <w:p w:rsidR="006C4A9A" w:rsidRDefault="006C4A9A" w:rsidP="0093214A">
      <w:pPr>
        <w:pStyle w:val="a3"/>
        <w:shd w:val="clear" w:color="000000" w:fill="auto"/>
        <w:spacing w:before="0" w:beforeAutospacing="0" w:after="0" w:afterAutospacing="0" w:line="360" w:lineRule="auto"/>
        <w:ind w:firstLine="709"/>
        <w:jc w:val="both"/>
        <w:rPr>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Регулирование деятельности субъектов природных монополий в газовом секторе с 1998 года осуществляет Национальная комиссия регулирования электроэнергетики. Она:</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устанавливает тарифы на транспортировку газа магистральными и распределительными трубопроводами;</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устанавливает тарифы на поставку природного</w:t>
      </w:r>
      <w:r w:rsidR="0093214A" w:rsidRPr="0093214A">
        <w:rPr>
          <w:sz w:val="28"/>
          <w:szCs w:val="28"/>
        </w:rPr>
        <w:t xml:space="preserve"> </w:t>
      </w:r>
      <w:r w:rsidRPr="0093214A">
        <w:rPr>
          <w:sz w:val="28"/>
          <w:szCs w:val="28"/>
        </w:rPr>
        <w:t xml:space="preserve">газа; </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устанавливает тарифы на хранение газа в газохранилищах;</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устанавливает предельные уровни цен на газ природный</w:t>
      </w:r>
      <w:r w:rsidR="0093214A" w:rsidRPr="0093214A">
        <w:rPr>
          <w:sz w:val="28"/>
          <w:szCs w:val="28"/>
        </w:rPr>
        <w:t xml:space="preserve"> </w:t>
      </w:r>
      <w:r w:rsidRPr="0093214A">
        <w:rPr>
          <w:sz w:val="28"/>
          <w:szCs w:val="28"/>
        </w:rPr>
        <w:t>для различных категорий потребителей.</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В то же время, на рынках, смежных с естественными</w:t>
      </w:r>
      <w:r w:rsidR="0093214A" w:rsidRPr="0093214A">
        <w:rPr>
          <w:sz w:val="28"/>
          <w:szCs w:val="28"/>
        </w:rPr>
        <w:t xml:space="preserve"> </w:t>
      </w:r>
      <w:r w:rsidRPr="0093214A">
        <w:rPr>
          <w:sz w:val="28"/>
          <w:szCs w:val="28"/>
        </w:rPr>
        <w:t>монополиями, которые потенциально являются конкурентными, задачей Комиссии является содействие развитию конкуренции (рынок поставок природного газа).</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Но орган регулирования в Украине, не настолько независимый орган, как того хотелось бы, и цены и тарифы для населения на сегодняшний день согласовываются с правительством. Кабинет министров, в свою очередь очень редко дает добро на повышение тарифов для этой категории, в связи с чем розничные цены на природный газ до недавнего времени были неизменными в течении 7 лет. Сдерживание уровней цен и тарифов на природный газ для бытовых потребителей привело к тому, что население состоянием на начало 2006 года возмещало около 48% экономически обоснованного уровня цены на природный газ, тем самым, увеличивая объемы перекрестного субсидирования. Плюс все это усугубляется неразвитой законодательной базой газового сектора (например, уже несколько лет не принят Закон Украины «О функционировании рынка природного газа».)</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Только в 2006 году тарифы на газ для населения были повышены до 414 грн. за м3</w:t>
      </w:r>
      <w:r w:rsidR="0093214A" w:rsidRPr="0093214A">
        <w:rPr>
          <w:sz w:val="28"/>
          <w:szCs w:val="28"/>
        </w:rPr>
        <w:t xml:space="preserve"> </w:t>
      </w:r>
      <w:r w:rsidRPr="0093214A">
        <w:rPr>
          <w:sz w:val="28"/>
          <w:szCs w:val="28"/>
        </w:rPr>
        <w:t>, однако позже правительство приняло решение о граничной цене для населения на уровне 339 грн. за м3 , (возможно что цена на газ для населения будет зависеть от объемов потребления газа в 2007 году).</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 xml:space="preserve">Предельные уровни цен на природный газ для потребностей населения, бюджетных учреждений и предприятия коммунальной теплоэнергетики включают в свой состав непосредственно цену природного газа, целевую надбавку на цену природного газа в размере 2%, стоимость услуг по транспортировке природного газа, а также налог на добавленную стоимость (для предприятий коммунальной теплоэнергетики тариф на снабжение природного газа применяется только при условии снабжения по регулируемому тарифу. Постановлением Кабинета Министров Украины от 27.12.2001 №1729 </w:t>
      </w:r>
      <w:r w:rsidRPr="0093214A">
        <w:rPr>
          <w:rStyle w:val="a5"/>
          <w:sz w:val="28"/>
          <w:szCs w:val="28"/>
        </w:rPr>
        <w:t>«Об обеспечении потребителей</w:t>
      </w:r>
      <w:r w:rsidR="0093214A" w:rsidRPr="0093214A">
        <w:rPr>
          <w:rStyle w:val="a5"/>
          <w:sz w:val="28"/>
          <w:szCs w:val="28"/>
        </w:rPr>
        <w:t xml:space="preserve"> </w:t>
      </w:r>
      <w:r w:rsidRPr="0093214A">
        <w:rPr>
          <w:rStyle w:val="a5"/>
          <w:sz w:val="28"/>
          <w:szCs w:val="28"/>
        </w:rPr>
        <w:t xml:space="preserve">природным газом» </w:t>
      </w:r>
      <w:r w:rsidRPr="0093214A">
        <w:rPr>
          <w:sz w:val="28"/>
          <w:szCs w:val="28"/>
        </w:rPr>
        <w:t xml:space="preserve">установлено, что потребность в природном газе </w:t>
      </w:r>
      <w:r w:rsidRPr="0093214A">
        <w:rPr>
          <w:rStyle w:val="a4"/>
          <w:sz w:val="28"/>
          <w:szCs w:val="28"/>
        </w:rPr>
        <w:t>населения</w:t>
      </w:r>
      <w:r w:rsidRPr="0093214A">
        <w:rPr>
          <w:sz w:val="28"/>
          <w:szCs w:val="28"/>
        </w:rPr>
        <w:t xml:space="preserve"> удовлетворяется из ресурсов газа, добытого (в частности в процессе выполнения договоров о совместной деятельности) предприятиями НАК «Нефтегаз Украины» и НАК «Недра Украины», ОАО «Укрнефть», другими хозяйственными обществами, часть государства в уставном фонде которых не превышает 50% акций, а также хозяйственными обществами более чем 50% акций которых находится в уставных фондах других хозяйственных обществ, и другими хозяйственными обществами, акционером которых является государство и владеет в них контрольным пакетом акций, и из других ресурсов природного газа НАК «Нефтегаз Украины».) </w:t>
      </w:r>
    </w:p>
    <w:p w:rsidR="0016723A" w:rsidRPr="0093214A" w:rsidRDefault="0016723A" w:rsidP="0093214A">
      <w:pPr>
        <w:shd w:val="clear" w:color="000000" w:fill="auto"/>
        <w:spacing w:line="360" w:lineRule="auto"/>
        <w:ind w:firstLine="709"/>
        <w:jc w:val="both"/>
        <w:rPr>
          <w:sz w:val="28"/>
          <w:szCs w:val="28"/>
        </w:rPr>
      </w:pPr>
      <w:r w:rsidRPr="0093214A">
        <w:rPr>
          <w:sz w:val="28"/>
          <w:szCs w:val="28"/>
        </w:rPr>
        <w:t xml:space="preserve">НКРЭ по согласованию с Минэкономики повысила предельные уровни цен на природный газ и для потребителей бюджетной сферы и предприятий коммунальной теплоэнергетики на 80%, установив их с 1 июля 2006 года на уровнях 648 грн. за </w:t>
      </w:r>
      <w:smartTag w:uri="urn:schemas-microsoft-com:office:smarttags" w:element="metricconverter">
        <w:smartTagPr>
          <w:attr w:name="ProductID" w:val="1000 м3"/>
        </w:smartTagPr>
        <w:r w:rsidRPr="0093214A">
          <w:rPr>
            <w:sz w:val="28"/>
            <w:szCs w:val="28"/>
          </w:rPr>
          <w:t>1000 м3</w:t>
        </w:r>
      </w:smartTag>
      <w:r w:rsidRPr="0093214A">
        <w:rPr>
          <w:sz w:val="28"/>
          <w:szCs w:val="28"/>
        </w:rPr>
        <w:t xml:space="preserve"> и 686 грн. за </w:t>
      </w:r>
      <w:smartTag w:uri="urn:schemas-microsoft-com:office:smarttags" w:element="metricconverter">
        <w:smartTagPr>
          <w:attr w:name="ProductID" w:val="1000 м3"/>
        </w:smartTagPr>
        <w:r w:rsidRPr="0093214A">
          <w:rPr>
            <w:sz w:val="28"/>
            <w:szCs w:val="28"/>
          </w:rPr>
          <w:t>1000 м3</w:t>
        </w:r>
      </w:smartTag>
      <w:r w:rsidRPr="0093214A">
        <w:rPr>
          <w:sz w:val="28"/>
          <w:szCs w:val="28"/>
        </w:rPr>
        <w:t xml:space="preserve"> соответственно. 16.02.06 был утвержден предельный уровень цены на газ на уровне 548,0 грн. за </w:t>
      </w:r>
      <w:smartTag w:uri="urn:schemas-microsoft-com:office:smarttags" w:element="metricconverter">
        <w:smartTagPr>
          <w:attr w:name="ProductID" w:val="1000 м3"/>
        </w:smartTagPr>
        <w:r w:rsidRPr="0093214A">
          <w:rPr>
            <w:sz w:val="28"/>
            <w:szCs w:val="28"/>
          </w:rPr>
          <w:t>1000 м3</w:t>
        </w:r>
      </w:smartTag>
      <w:r w:rsidRPr="0093214A">
        <w:rPr>
          <w:sz w:val="28"/>
          <w:szCs w:val="28"/>
        </w:rPr>
        <w:t xml:space="preserve"> без учета НДС и тарифов на транспортировку и снабжение газа, который сегодня полностью возмещает расходы, связанные с его закупкой и реализацией.</w:t>
      </w:r>
    </w:p>
    <w:p w:rsidR="0016723A" w:rsidRPr="006C4A9A" w:rsidRDefault="0016723A" w:rsidP="006C4A9A">
      <w:pPr>
        <w:shd w:val="clear" w:color="000000" w:fill="auto"/>
        <w:spacing w:line="360" w:lineRule="auto"/>
        <w:ind w:firstLine="709"/>
        <w:jc w:val="both"/>
        <w:rPr>
          <w:sz w:val="28"/>
          <w:szCs w:val="28"/>
        </w:rPr>
      </w:pPr>
      <w:r w:rsidRPr="006C4A9A">
        <w:rPr>
          <w:sz w:val="28"/>
          <w:szCs w:val="28"/>
        </w:rPr>
        <w:t>Предельные уровни цен на природный газ могут изменяться в связи с изменением составляющих: закупочных цен на природный газ, тарифов на услуги по его транспортировке и снабжению, величине ставки НДС.</w:t>
      </w:r>
      <w:r w:rsidR="006C4A9A" w:rsidRPr="006C4A9A">
        <w:rPr>
          <w:sz w:val="28"/>
          <w:szCs w:val="28"/>
        </w:rPr>
        <w:t xml:space="preserve"> </w:t>
      </w:r>
      <w:r w:rsidRPr="006C4A9A">
        <w:rPr>
          <w:sz w:val="28"/>
          <w:szCs w:val="28"/>
        </w:rPr>
        <w:t>Не совсем объективная картина и с граничными ценами на газ для промышленных потребителей в сравнении с промышленными потребителями других стра</w:t>
      </w:r>
      <w:r w:rsidR="006C4A9A" w:rsidRPr="006C4A9A">
        <w:rPr>
          <w:sz w:val="28"/>
          <w:szCs w:val="28"/>
        </w:rPr>
        <w:t xml:space="preserve">н. </w:t>
      </w:r>
      <w:r w:rsidRPr="006C4A9A">
        <w:rPr>
          <w:sz w:val="28"/>
          <w:szCs w:val="28"/>
        </w:rPr>
        <w:t>В странах Западной Европы самые низкие тарифы установлены для самых крупных потребителей, а незащищенные группы населения получают от государства субсидии. В нашей же стране ситуация противоположная -</w:t>
      </w:r>
      <w:r w:rsidR="0093214A" w:rsidRPr="006C4A9A">
        <w:rPr>
          <w:sz w:val="28"/>
          <w:szCs w:val="28"/>
        </w:rPr>
        <w:t xml:space="preserve"> </w:t>
      </w:r>
      <w:r w:rsidRPr="006C4A9A">
        <w:rPr>
          <w:sz w:val="28"/>
          <w:szCs w:val="28"/>
        </w:rPr>
        <w:t>самый низкий тариф на газ имеет население. Для последних лет стала характерна ситуация, когда некоторые промышленные группы получают лицензии на поставку природного газа по нерегулируемому тарифу (на срок 3-5 лет) и пробуют напрямую заключить контракт на закупку газа, в результате чего цена закупаемого ими газа уменьшается.</w:t>
      </w:r>
    </w:p>
    <w:p w:rsidR="007E3ACA" w:rsidRDefault="007E3ACA" w:rsidP="0093214A">
      <w:pPr>
        <w:pStyle w:val="a3"/>
        <w:shd w:val="clear" w:color="000000" w:fill="auto"/>
        <w:spacing w:before="0" w:beforeAutospacing="0" w:after="0" w:afterAutospacing="0" w:line="360" w:lineRule="auto"/>
        <w:ind w:firstLine="709"/>
        <w:jc w:val="both"/>
        <w:rPr>
          <w:rStyle w:val="a4"/>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rStyle w:val="a4"/>
          <w:sz w:val="28"/>
          <w:szCs w:val="28"/>
        </w:rPr>
        <w:t>Козыри Украины</w:t>
      </w:r>
    </w:p>
    <w:p w:rsidR="007E3ACA" w:rsidRDefault="007E3ACA" w:rsidP="0093214A">
      <w:pPr>
        <w:pStyle w:val="a3"/>
        <w:shd w:val="clear" w:color="000000" w:fill="auto"/>
        <w:spacing w:before="0" w:beforeAutospacing="0" w:after="0" w:afterAutospacing="0" w:line="360" w:lineRule="auto"/>
        <w:ind w:firstLine="709"/>
        <w:jc w:val="both"/>
        <w:rPr>
          <w:sz w:val="28"/>
          <w:szCs w:val="28"/>
        </w:rPr>
      </w:pP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 xml:space="preserve">Украина является одним из крупнейших транзитеров природного газа и нефти в мире. Этому способствует выгодное географическое расположение государства, развитая система нефте- и газопроводов, которые получают и транспортируют энергоресурсы с Востока на Запад. </w:t>
      </w:r>
    </w:p>
    <w:p w:rsidR="0016723A" w:rsidRPr="0093214A" w:rsidRDefault="0016723A" w:rsidP="0093214A">
      <w:pPr>
        <w:pStyle w:val="a3"/>
        <w:shd w:val="clear" w:color="000000" w:fill="auto"/>
        <w:spacing w:before="0" w:beforeAutospacing="0" w:after="0" w:afterAutospacing="0" w:line="360" w:lineRule="auto"/>
        <w:ind w:firstLine="709"/>
        <w:jc w:val="both"/>
        <w:rPr>
          <w:sz w:val="28"/>
          <w:szCs w:val="28"/>
        </w:rPr>
      </w:pPr>
      <w:r w:rsidRPr="0093214A">
        <w:rPr>
          <w:sz w:val="28"/>
          <w:szCs w:val="28"/>
        </w:rPr>
        <w:t>Основной оператор газотранспортной системы Украины - ДК "Укртрансгаз" - осуществляет подачу природного газа магистральными</w:t>
      </w:r>
      <w:r w:rsidR="0093214A" w:rsidRPr="0093214A">
        <w:rPr>
          <w:sz w:val="28"/>
          <w:szCs w:val="28"/>
        </w:rPr>
        <w:t xml:space="preserve"> </w:t>
      </w:r>
      <w:r w:rsidRPr="0093214A">
        <w:rPr>
          <w:sz w:val="28"/>
          <w:szCs w:val="28"/>
        </w:rPr>
        <w:t xml:space="preserve">газопроводами, как для обеспечения потребителей Украины, так и транзитных поставок российского газа в страны Центральной и Западной Европы, а также в Молдову и южные регионы Российской Федерации. ГАО "Черноморнефтегаз" обеспечивает поставку газа потребителям Автономной Республики Крым. </w:t>
      </w:r>
      <w:r w:rsidR="0093214A">
        <w:rPr>
          <w:sz w:val="28"/>
          <w:szCs w:val="28"/>
        </w:rPr>
        <w:t xml:space="preserve"> </w:t>
      </w:r>
      <w:r w:rsidRPr="0093214A">
        <w:rPr>
          <w:sz w:val="28"/>
          <w:szCs w:val="28"/>
        </w:rPr>
        <w:t>Газотранспортная система Украины объединяет 37,8 тыс. км магистральных газопроводов, 73 компрессорных станции, 13 подземных газохранилищ с активным объемом газа более 34,5 млрд. куб. м, сеть газораспределительных и газоизмерительных станций и АГНКС. Пропускная способность системы на входе составляет 290 млрд. куб. м</w:t>
      </w:r>
      <w:r w:rsidR="007E3ACA">
        <w:rPr>
          <w:sz w:val="28"/>
          <w:szCs w:val="28"/>
        </w:rPr>
        <w:t xml:space="preserve"> в год, на выходе -175 млрд. м.</w:t>
      </w:r>
      <w:bookmarkStart w:id="0" w:name="_GoBack"/>
      <w:bookmarkEnd w:id="0"/>
    </w:p>
    <w:sectPr w:rsidR="0016723A" w:rsidRPr="0093214A" w:rsidSect="0093214A">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E50" w:rsidRDefault="003B6E50">
      <w:r>
        <w:separator/>
      </w:r>
    </w:p>
  </w:endnote>
  <w:endnote w:type="continuationSeparator" w:id="0">
    <w:p w:rsidR="003B6E50" w:rsidRDefault="003B6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CA" w:rsidRDefault="007E3ACA" w:rsidP="00B92AA9">
    <w:pPr>
      <w:pStyle w:val="a8"/>
      <w:framePr w:wrap="around" w:vAnchor="text" w:hAnchor="margin" w:xAlign="right" w:y="1"/>
      <w:rPr>
        <w:rStyle w:val="aa"/>
      </w:rPr>
    </w:pPr>
  </w:p>
  <w:p w:rsidR="007E3ACA" w:rsidRDefault="007E3ACA" w:rsidP="0093214A">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CA" w:rsidRDefault="00FC185D" w:rsidP="00B92AA9">
    <w:pPr>
      <w:pStyle w:val="a8"/>
      <w:framePr w:wrap="around" w:vAnchor="text" w:hAnchor="margin" w:xAlign="right" w:y="1"/>
      <w:rPr>
        <w:rStyle w:val="aa"/>
      </w:rPr>
    </w:pPr>
    <w:r>
      <w:rPr>
        <w:rStyle w:val="aa"/>
        <w:noProof/>
      </w:rPr>
      <w:t>2</w:t>
    </w:r>
  </w:p>
  <w:p w:rsidR="007E3ACA" w:rsidRDefault="007E3ACA" w:rsidP="0093214A">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CA" w:rsidRDefault="007E3AC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E50" w:rsidRDefault="003B6E50">
      <w:r>
        <w:separator/>
      </w:r>
    </w:p>
  </w:footnote>
  <w:footnote w:type="continuationSeparator" w:id="0">
    <w:p w:rsidR="003B6E50" w:rsidRDefault="003B6E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CA" w:rsidRDefault="007E3AC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CA" w:rsidRDefault="007E3AC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ACA" w:rsidRDefault="007E3AC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050E5B"/>
    <w:multiLevelType w:val="multilevel"/>
    <w:tmpl w:val="D71E329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23A"/>
    <w:rsid w:val="000317E5"/>
    <w:rsid w:val="00077C4E"/>
    <w:rsid w:val="0016723A"/>
    <w:rsid w:val="003B6E50"/>
    <w:rsid w:val="006035BE"/>
    <w:rsid w:val="00683DAB"/>
    <w:rsid w:val="006C4A9A"/>
    <w:rsid w:val="006E2A34"/>
    <w:rsid w:val="006E5B18"/>
    <w:rsid w:val="007E3ACA"/>
    <w:rsid w:val="00800B6D"/>
    <w:rsid w:val="0093214A"/>
    <w:rsid w:val="00B175B4"/>
    <w:rsid w:val="00B81FD2"/>
    <w:rsid w:val="00B92AA9"/>
    <w:rsid w:val="00D03ED1"/>
    <w:rsid w:val="00DC3A6A"/>
    <w:rsid w:val="00E27146"/>
    <w:rsid w:val="00FC185D"/>
    <w:rsid w:val="00FC3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DB35A8-185B-429F-8633-F87A2D8A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6723A"/>
    <w:pPr>
      <w:spacing w:before="100" w:beforeAutospacing="1" w:after="100" w:afterAutospacing="1"/>
    </w:pPr>
  </w:style>
  <w:style w:type="character" w:styleId="a4">
    <w:name w:val="Strong"/>
    <w:uiPriority w:val="99"/>
    <w:qFormat/>
    <w:rsid w:val="0016723A"/>
    <w:rPr>
      <w:rFonts w:cs="Times New Roman"/>
      <w:b/>
      <w:bCs/>
    </w:rPr>
  </w:style>
  <w:style w:type="character" w:styleId="a5">
    <w:name w:val="Emphasis"/>
    <w:uiPriority w:val="99"/>
    <w:qFormat/>
    <w:rsid w:val="0016723A"/>
    <w:rPr>
      <w:rFonts w:cs="Times New Roman"/>
      <w:i/>
      <w:iCs/>
    </w:rPr>
  </w:style>
  <w:style w:type="paragraph" w:styleId="a6">
    <w:name w:val="header"/>
    <w:basedOn w:val="a"/>
    <w:link w:val="a7"/>
    <w:uiPriority w:val="99"/>
    <w:rsid w:val="0093214A"/>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paragraph" w:styleId="a8">
    <w:name w:val="footer"/>
    <w:basedOn w:val="a"/>
    <w:link w:val="a9"/>
    <w:uiPriority w:val="99"/>
    <w:rsid w:val="0093214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93214A"/>
    <w:rPr>
      <w:rFonts w:cs="Times New Roman"/>
    </w:rPr>
  </w:style>
  <w:style w:type="paragraph" w:customStyle="1" w:styleId="1">
    <w:name w:val="Стиль1"/>
    <w:basedOn w:val="a"/>
    <w:uiPriority w:val="99"/>
    <w:rsid w:val="00FC3901"/>
    <w:pPr>
      <w:framePr w:hSpace="45" w:wrap="around" w:vAnchor="text" w:hAnchor="text" w:xAlign="center"/>
      <w:shd w:val="clear" w:color="000000" w:fill="auto"/>
      <w:spacing w:line="360" w:lineRule="auto"/>
      <w:jc w:val="both"/>
    </w:pPr>
    <w:rPr>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518400">
      <w:marLeft w:val="0"/>
      <w:marRight w:val="0"/>
      <w:marTop w:val="0"/>
      <w:marBottom w:val="0"/>
      <w:divBdr>
        <w:top w:val="none" w:sz="0" w:space="0" w:color="auto"/>
        <w:left w:val="none" w:sz="0" w:space="0" w:color="auto"/>
        <w:bottom w:val="none" w:sz="0" w:space="0" w:color="auto"/>
        <w:right w:val="none" w:sz="0" w:space="0" w:color="auto"/>
      </w:divBdr>
      <w:divsChild>
        <w:div w:id="1829518396">
          <w:marLeft w:val="0"/>
          <w:marRight w:val="0"/>
          <w:marTop w:val="0"/>
          <w:marBottom w:val="0"/>
          <w:divBdr>
            <w:top w:val="none" w:sz="0" w:space="0" w:color="auto"/>
            <w:left w:val="none" w:sz="0" w:space="0" w:color="auto"/>
            <w:bottom w:val="none" w:sz="0" w:space="0" w:color="auto"/>
            <w:right w:val="none" w:sz="0" w:space="0" w:color="auto"/>
          </w:divBdr>
          <w:divsChild>
            <w:div w:id="1829518398">
              <w:marLeft w:val="0"/>
              <w:marRight w:val="0"/>
              <w:marTop w:val="0"/>
              <w:marBottom w:val="0"/>
              <w:divBdr>
                <w:top w:val="none" w:sz="0" w:space="0" w:color="auto"/>
                <w:left w:val="none" w:sz="0" w:space="0" w:color="auto"/>
                <w:bottom w:val="none" w:sz="0" w:space="0" w:color="auto"/>
                <w:right w:val="none" w:sz="0" w:space="0" w:color="auto"/>
              </w:divBdr>
            </w:div>
            <w:div w:id="182951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8405">
      <w:marLeft w:val="0"/>
      <w:marRight w:val="0"/>
      <w:marTop w:val="0"/>
      <w:marBottom w:val="0"/>
      <w:divBdr>
        <w:top w:val="none" w:sz="0" w:space="0" w:color="auto"/>
        <w:left w:val="none" w:sz="0" w:space="0" w:color="auto"/>
        <w:bottom w:val="none" w:sz="0" w:space="0" w:color="auto"/>
        <w:right w:val="none" w:sz="0" w:space="0" w:color="auto"/>
      </w:divBdr>
      <w:divsChild>
        <w:div w:id="1829518397">
          <w:marLeft w:val="0"/>
          <w:marRight w:val="0"/>
          <w:marTop w:val="0"/>
          <w:marBottom w:val="0"/>
          <w:divBdr>
            <w:top w:val="none" w:sz="0" w:space="0" w:color="auto"/>
            <w:left w:val="none" w:sz="0" w:space="0" w:color="auto"/>
            <w:bottom w:val="none" w:sz="0" w:space="0" w:color="auto"/>
            <w:right w:val="none" w:sz="0" w:space="0" w:color="auto"/>
          </w:divBdr>
        </w:div>
      </w:divsChild>
    </w:div>
    <w:div w:id="1829518406">
      <w:marLeft w:val="0"/>
      <w:marRight w:val="0"/>
      <w:marTop w:val="0"/>
      <w:marBottom w:val="0"/>
      <w:divBdr>
        <w:top w:val="none" w:sz="0" w:space="0" w:color="auto"/>
        <w:left w:val="none" w:sz="0" w:space="0" w:color="auto"/>
        <w:bottom w:val="none" w:sz="0" w:space="0" w:color="auto"/>
        <w:right w:val="none" w:sz="0" w:space="0" w:color="auto"/>
      </w:divBdr>
      <w:divsChild>
        <w:div w:id="1829518399">
          <w:marLeft w:val="0"/>
          <w:marRight w:val="0"/>
          <w:marTop w:val="0"/>
          <w:marBottom w:val="0"/>
          <w:divBdr>
            <w:top w:val="none" w:sz="0" w:space="0" w:color="auto"/>
            <w:left w:val="none" w:sz="0" w:space="0" w:color="auto"/>
            <w:bottom w:val="none" w:sz="0" w:space="0" w:color="auto"/>
            <w:right w:val="none" w:sz="0" w:space="0" w:color="auto"/>
          </w:divBdr>
        </w:div>
      </w:divsChild>
    </w:div>
    <w:div w:id="1829518408">
      <w:marLeft w:val="0"/>
      <w:marRight w:val="0"/>
      <w:marTop w:val="0"/>
      <w:marBottom w:val="0"/>
      <w:divBdr>
        <w:top w:val="none" w:sz="0" w:space="0" w:color="auto"/>
        <w:left w:val="none" w:sz="0" w:space="0" w:color="auto"/>
        <w:bottom w:val="none" w:sz="0" w:space="0" w:color="auto"/>
        <w:right w:val="none" w:sz="0" w:space="0" w:color="auto"/>
      </w:divBdr>
      <w:divsChild>
        <w:div w:id="1829518407">
          <w:marLeft w:val="0"/>
          <w:marRight w:val="0"/>
          <w:marTop w:val="0"/>
          <w:marBottom w:val="0"/>
          <w:divBdr>
            <w:top w:val="none" w:sz="0" w:space="0" w:color="auto"/>
            <w:left w:val="none" w:sz="0" w:space="0" w:color="auto"/>
            <w:bottom w:val="none" w:sz="0" w:space="0" w:color="auto"/>
            <w:right w:val="none" w:sz="0" w:space="0" w:color="auto"/>
          </w:divBdr>
          <w:divsChild>
            <w:div w:id="1829518403">
              <w:marLeft w:val="0"/>
              <w:marRight w:val="0"/>
              <w:marTop w:val="0"/>
              <w:marBottom w:val="0"/>
              <w:divBdr>
                <w:top w:val="none" w:sz="0" w:space="0" w:color="auto"/>
                <w:left w:val="none" w:sz="0" w:space="0" w:color="auto"/>
                <w:bottom w:val="none" w:sz="0" w:space="0" w:color="auto"/>
                <w:right w:val="none" w:sz="0" w:space="0" w:color="auto"/>
              </w:divBdr>
            </w:div>
            <w:div w:id="18295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18409">
      <w:marLeft w:val="0"/>
      <w:marRight w:val="0"/>
      <w:marTop w:val="0"/>
      <w:marBottom w:val="0"/>
      <w:divBdr>
        <w:top w:val="none" w:sz="0" w:space="0" w:color="auto"/>
        <w:left w:val="none" w:sz="0" w:space="0" w:color="auto"/>
        <w:bottom w:val="none" w:sz="0" w:space="0" w:color="auto"/>
        <w:right w:val="none" w:sz="0" w:space="0" w:color="auto"/>
      </w:divBdr>
      <w:divsChild>
        <w:div w:id="1829518401">
          <w:marLeft w:val="0"/>
          <w:marRight w:val="0"/>
          <w:marTop w:val="0"/>
          <w:marBottom w:val="0"/>
          <w:divBdr>
            <w:top w:val="none" w:sz="0" w:space="0" w:color="auto"/>
            <w:left w:val="none" w:sz="0" w:space="0" w:color="auto"/>
            <w:bottom w:val="none" w:sz="0" w:space="0" w:color="auto"/>
            <w:right w:val="none" w:sz="0" w:space="0" w:color="auto"/>
          </w:divBdr>
          <w:divsChild>
            <w:div w:id="18295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Words>
  <Characters>18839</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Нефтегазовая промышленность Украины представлена предприятиями по добыче и переработке нефти и газа</vt:lpstr>
    </vt:vector>
  </TitlesOfParts>
  <Company/>
  <LinksUpToDate>false</LinksUpToDate>
  <CharactersWithSpaces>22099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Нефтегазовая промышленность Украины представлена предприятиями по добыче и переработке нефти и газа</dc:title>
  <dc:subject/>
  <dc:creator>mari</dc:creator>
  <cp:keywords/>
  <dc:description/>
  <cp:lastModifiedBy>admin</cp:lastModifiedBy>
  <cp:revision>2</cp:revision>
  <dcterms:created xsi:type="dcterms:W3CDTF">2014-03-14T01:23:00Z</dcterms:created>
  <dcterms:modified xsi:type="dcterms:W3CDTF">2014-03-14T01:23:00Z</dcterms:modified>
</cp:coreProperties>
</file>