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53434">
        <w:tc>
          <w:tcPr>
            <w:tcW w:w="9142" w:type="dxa"/>
          </w:tcPr>
          <w:p w:rsidR="00853434" w:rsidRDefault="00853434">
            <w:pPr>
              <w:pStyle w:val="a4"/>
              <w:ind w:firstLine="0"/>
              <w:jc w:val="center"/>
            </w:pPr>
            <w:r>
              <w:t>ВОРОНЕЖСКИЙ ГОСУДАРСТВЕННЫЙ УНИВЕРСИТЕТ</w:t>
            </w:r>
          </w:p>
          <w:p w:rsidR="00853434" w:rsidRDefault="00853434">
            <w:pPr>
              <w:pStyle w:val="a4"/>
              <w:ind w:firstLine="0"/>
              <w:jc w:val="center"/>
            </w:pPr>
          </w:p>
        </w:tc>
      </w:tr>
      <w:tr w:rsidR="00853434">
        <w:tc>
          <w:tcPr>
            <w:tcW w:w="9142" w:type="dxa"/>
          </w:tcPr>
          <w:p w:rsidR="00853434" w:rsidRDefault="00853434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ЭКОНОМИЧЕСКИЙ ФАКУЛЬТЕТ</w:t>
            </w:r>
          </w:p>
          <w:p w:rsidR="00853434" w:rsidRDefault="00853434">
            <w:pPr>
              <w:pStyle w:val="a4"/>
              <w:ind w:firstLine="0"/>
              <w:jc w:val="center"/>
              <w:rPr>
                <w:sz w:val="24"/>
              </w:rPr>
            </w:pPr>
          </w:p>
        </w:tc>
      </w:tr>
      <w:tr w:rsidR="00853434">
        <w:tc>
          <w:tcPr>
            <w:tcW w:w="9142" w:type="dxa"/>
          </w:tcPr>
          <w:p w:rsidR="00853434" w:rsidRDefault="00853434">
            <w:pPr>
              <w:pStyle w:val="a4"/>
              <w:ind w:firstLine="0"/>
              <w:jc w:val="right"/>
            </w:pPr>
          </w:p>
        </w:tc>
      </w:tr>
    </w:tbl>
    <w:p w:rsidR="00853434" w:rsidRDefault="00853434">
      <w:pPr>
        <w:ind w:left="993"/>
        <w:jc w:val="center"/>
        <w:rPr>
          <w:sz w:val="24"/>
        </w:rPr>
      </w:pPr>
    </w:p>
    <w:p w:rsidR="00853434" w:rsidRDefault="00853434">
      <w:pPr>
        <w:ind w:left="567"/>
        <w:jc w:val="center"/>
        <w:rPr>
          <w:sz w:val="24"/>
        </w:rPr>
      </w:pPr>
    </w:p>
    <w:p w:rsidR="00853434" w:rsidRDefault="00853434">
      <w:pPr>
        <w:ind w:left="567"/>
        <w:jc w:val="center"/>
        <w:rPr>
          <w:sz w:val="24"/>
        </w:rPr>
      </w:pPr>
    </w:p>
    <w:p w:rsidR="00853434" w:rsidRDefault="00853434">
      <w:pPr>
        <w:ind w:left="567"/>
        <w:jc w:val="center"/>
        <w:rPr>
          <w:sz w:val="24"/>
        </w:rPr>
      </w:pPr>
    </w:p>
    <w:p w:rsidR="00853434" w:rsidRDefault="00853434">
      <w:pPr>
        <w:ind w:left="567"/>
        <w:jc w:val="center"/>
        <w:rPr>
          <w:sz w:val="56"/>
        </w:rPr>
      </w:pPr>
    </w:p>
    <w:p w:rsidR="00853434" w:rsidRDefault="00853434">
      <w:pPr>
        <w:ind w:left="567"/>
        <w:jc w:val="center"/>
        <w:rPr>
          <w:sz w:val="56"/>
        </w:rPr>
      </w:pPr>
    </w:p>
    <w:p w:rsidR="00853434" w:rsidRDefault="00853434">
      <w:pPr>
        <w:ind w:left="567"/>
        <w:jc w:val="center"/>
        <w:rPr>
          <w:sz w:val="5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853434">
        <w:tc>
          <w:tcPr>
            <w:tcW w:w="9000" w:type="dxa"/>
          </w:tcPr>
          <w:p w:rsidR="00853434" w:rsidRDefault="00853434">
            <w:pPr>
              <w:jc w:val="center"/>
              <w:rPr>
                <w:sz w:val="72"/>
              </w:rPr>
            </w:pPr>
            <w:r>
              <w:rPr>
                <w:b/>
                <w:caps/>
                <w:sz w:val="72"/>
              </w:rPr>
              <w:t>реферат</w:t>
            </w:r>
          </w:p>
        </w:tc>
      </w:tr>
    </w:tbl>
    <w:p w:rsidR="00853434" w:rsidRDefault="00853434">
      <w:pPr>
        <w:ind w:left="567"/>
        <w:jc w:val="center"/>
        <w:rPr>
          <w:sz w:val="5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6992"/>
      </w:tblGrid>
      <w:tr w:rsidR="00853434">
        <w:tc>
          <w:tcPr>
            <w:tcW w:w="2008" w:type="dxa"/>
          </w:tcPr>
          <w:p w:rsidR="00853434" w:rsidRDefault="00853434">
            <w:pPr>
              <w:rPr>
                <w:sz w:val="28"/>
              </w:rPr>
            </w:pPr>
            <w:r>
              <w:rPr>
                <w:sz w:val="24"/>
              </w:rPr>
              <w:t>ПО  КУРСУ:</w:t>
            </w:r>
          </w:p>
        </w:tc>
        <w:tc>
          <w:tcPr>
            <w:tcW w:w="6992" w:type="dxa"/>
          </w:tcPr>
          <w:p w:rsidR="00853434" w:rsidRDefault="00853434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4"/>
              </w:rPr>
              <w:t>“ ЭКОНОМИКА зарубежных стран”</w:t>
            </w:r>
          </w:p>
        </w:tc>
      </w:tr>
      <w:tr w:rsidR="00853434">
        <w:tc>
          <w:tcPr>
            <w:tcW w:w="2008" w:type="dxa"/>
          </w:tcPr>
          <w:p w:rsidR="00853434" w:rsidRDefault="00853434">
            <w:pPr>
              <w:rPr>
                <w:sz w:val="28"/>
              </w:rPr>
            </w:pPr>
            <w:r>
              <w:rPr>
                <w:sz w:val="28"/>
              </w:rPr>
              <w:t>НА ТЕМУ:</w:t>
            </w:r>
          </w:p>
        </w:tc>
        <w:tc>
          <w:tcPr>
            <w:tcW w:w="6992" w:type="dxa"/>
          </w:tcPr>
          <w:p w:rsidR="00853434" w:rsidRDefault="00853434">
            <w:pPr>
              <w:ind w:left="757" w:right="708"/>
              <w:jc w:val="center"/>
              <w:rPr>
                <w:caps/>
                <w:sz w:val="28"/>
              </w:rPr>
            </w:pPr>
            <w:r>
              <w:rPr>
                <w:b/>
                <w:caps/>
                <w:sz w:val="28"/>
              </w:rPr>
              <w:t>“Нефтегазовый комплекс: анализ и прогнозы”</w:t>
            </w:r>
          </w:p>
        </w:tc>
      </w:tr>
    </w:tbl>
    <w:p w:rsidR="00853434" w:rsidRDefault="00853434">
      <w:pPr>
        <w:ind w:left="567" w:right="-1417"/>
        <w:rPr>
          <w:sz w:val="28"/>
        </w:rPr>
      </w:pPr>
    </w:p>
    <w:p w:rsidR="00853434" w:rsidRDefault="00853434">
      <w:pPr>
        <w:rPr>
          <w:sz w:val="28"/>
        </w:rPr>
      </w:pPr>
    </w:p>
    <w:p w:rsidR="00853434" w:rsidRDefault="00853434">
      <w:pPr>
        <w:ind w:left="284"/>
        <w:rPr>
          <w:sz w:val="28"/>
        </w:rPr>
      </w:pPr>
    </w:p>
    <w:p w:rsidR="00853434" w:rsidRDefault="00853434">
      <w:pPr>
        <w:ind w:firstLine="1701"/>
      </w:pPr>
    </w:p>
    <w:p w:rsidR="00853434" w:rsidRDefault="00853434">
      <w:pPr>
        <w:ind w:firstLine="1701"/>
      </w:pPr>
    </w:p>
    <w:p w:rsidR="00853434" w:rsidRDefault="00853434">
      <w:pPr>
        <w:ind w:firstLine="1701"/>
      </w:pPr>
    </w:p>
    <w:p w:rsidR="00853434" w:rsidRDefault="00853434">
      <w:pPr>
        <w:ind w:firstLine="1701"/>
      </w:pPr>
    </w:p>
    <w:p w:rsidR="00853434" w:rsidRDefault="00853434">
      <w:pPr>
        <w:ind w:firstLine="1701"/>
      </w:pPr>
    </w:p>
    <w:p w:rsidR="00853434" w:rsidRDefault="00853434">
      <w:pPr>
        <w:ind w:firstLine="1701"/>
      </w:pPr>
    </w:p>
    <w:p w:rsidR="00853434" w:rsidRDefault="00853434">
      <w:pPr>
        <w:ind w:firstLine="1701"/>
      </w:pPr>
    </w:p>
    <w:p w:rsidR="00853434" w:rsidRDefault="00853434">
      <w:pPr>
        <w:ind w:firstLine="1701"/>
      </w:pPr>
    </w:p>
    <w:tbl>
      <w:tblPr>
        <w:tblW w:w="0" w:type="auto"/>
        <w:tblInd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853434">
        <w:tc>
          <w:tcPr>
            <w:tcW w:w="3472" w:type="dxa"/>
          </w:tcPr>
          <w:p w:rsidR="00853434" w:rsidRDefault="0085343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ВЫПОЛНИЛ СТУДЕНТ</w:t>
            </w:r>
          </w:p>
        </w:tc>
      </w:tr>
      <w:tr w:rsidR="00853434">
        <w:tc>
          <w:tcPr>
            <w:tcW w:w="3472" w:type="dxa"/>
          </w:tcPr>
          <w:p w:rsidR="00853434" w:rsidRDefault="0085343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2  КУРСА 1 ГРУППЫ</w:t>
            </w:r>
          </w:p>
        </w:tc>
      </w:tr>
      <w:tr w:rsidR="00853434">
        <w:tc>
          <w:tcPr>
            <w:tcW w:w="3472" w:type="dxa"/>
          </w:tcPr>
          <w:p w:rsidR="00853434" w:rsidRDefault="00853434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ловчиков д. с.</w:t>
            </w:r>
          </w:p>
        </w:tc>
      </w:tr>
    </w:tbl>
    <w:p w:rsidR="00853434" w:rsidRDefault="00853434">
      <w:pPr>
        <w:ind w:firstLine="1701"/>
        <w:jc w:val="right"/>
        <w:rPr>
          <w:caps/>
        </w:rPr>
      </w:pPr>
    </w:p>
    <w:p w:rsidR="00853434" w:rsidRDefault="00853434">
      <w:pPr>
        <w:ind w:right="425"/>
        <w:jc w:val="right"/>
        <w:rPr>
          <w:b/>
          <w:caps/>
          <w:sz w:val="28"/>
        </w:rPr>
      </w:pPr>
    </w:p>
    <w:tbl>
      <w:tblPr>
        <w:tblW w:w="0" w:type="auto"/>
        <w:tblInd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853434">
        <w:tc>
          <w:tcPr>
            <w:tcW w:w="3544" w:type="dxa"/>
          </w:tcPr>
          <w:p w:rsidR="00853434" w:rsidRDefault="0085343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РУКОВОДИТЕЛЬ:</w:t>
            </w:r>
          </w:p>
        </w:tc>
      </w:tr>
      <w:tr w:rsidR="00853434">
        <w:tc>
          <w:tcPr>
            <w:tcW w:w="3544" w:type="dxa"/>
          </w:tcPr>
          <w:p w:rsidR="00853434" w:rsidRDefault="00853434">
            <w:pPr>
              <w:jc w:val="center"/>
              <w:rPr>
                <w:caps/>
                <w:sz w:val="22"/>
              </w:rPr>
            </w:pPr>
          </w:p>
        </w:tc>
      </w:tr>
      <w:tr w:rsidR="00853434">
        <w:tc>
          <w:tcPr>
            <w:tcW w:w="3544" w:type="dxa"/>
          </w:tcPr>
          <w:p w:rsidR="00853434" w:rsidRDefault="00853434">
            <w:pPr>
              <w:jc w:val="center"/>
              <w:rPr>
                <w:b/>
                <w:caps/>
                <w:sz w:val="22"/>
              </w:rPr>
            </w:pPr>
          </w:p>
        </w:tc>
      </w:tr>
    </w:tbl>
    <w:p w:rsidR="00853434" w:rsidRDefault="00853434">
      <w:pPr>
        <w:jc w:val="right"/>
        <w:rPr>
          <w:b/>
        </w:rPr>
      </w:pPr>
    </w:p>
    <w:p w:rsidR="00853434" w:rsidRDefault="00853434">
      <w:pPr>
        <w:ind w:right="141"/>
        <w:jc w:val="right"/>
        <w:rPr>
          <w:sz w:val="28"/>
        </w:rPr>
      </w:pPr>
    </w:p>
    <w:p w:rsidR="00853434" w:rsidRDefault="00853434">
      <w:pPr>
        <w:rPr>
          <w:sz w:val="28"/>
        </w:rPr>
      </w:pPr>
    </w:p>
    <w:p w:rsidR="00853434" w:rsidRDefault="00853434">
      <w:pPr>
        <w:rPr>
          <w:sz w:val="28"/>
        </w:rPr>
      </w:pPr>
    </w:p>
    <w:p w:rsidR="00853434" w:rsidRDefault="00853434"/>
    <w:p w:rsidR="00853434" w:rsidRDefault="00853434"/>
    <w:p w:rsidR="00853434" w:rsidRDefault="00853434"/>
    <w:p w:rsidR="00853434" w:rsidRDefault="0085343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53434">
        <w:trPr>
          <w:trHeight w:val="337"/>
        </w:trPr>
        <w:tc>
          <w:tcPr>
            <w:tcW w:w="9142" w:type="dxa"/>
          </w:tcPr>
          <w:p w:rsidR="00853434" w:rsidRDefault="00853434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ВОРОНЕЖ - 1996</w:t>
            </w:r>
          </w:p>
        </w:tc>
      </w:tr>
    </w:tbl>
    <w:p w:rsidR="00853434" w:rsidRDefault="00853434">
      <w:pPr>
        <w:jc w:val="center"/>
      </w:pPr>
    </w:p>
    <w:p w:rsidR="00853434" w:rsidRDefault="00853434">
      <w:pPr>
        <w:pStyle w:val="2"/>
      </w:pPr>
      <w:r>
        <w:t>введение</w:t>
      </w:r>
    </w:p>
    <w:p w:rsidR="00853434" w:rsidRDefault="00853434">
      <w:pPr>
        <w:pStyle w:val="a4"/>
      </w:pPr>
      <w:r>
        <w:t>Рынок энергоресурсов играет большую роль в экономике. Во всем мире нефтяные монополии стремятся к увеличению добычи нефти. Более 3/5 всей добычи нефти в мире приходится на развивающиеся страны и страны Ближнего и Среднего Востока. Они же выполняют роль важнейших ее экспортеров на мировой рынок. Потребляется ближневосточная нефть прежде всего в Западной Европе, США, Японии, где и находятся основные предприятия по ее переработке.</w:t>
      </w:r>
    </w:p>
    <w:p w:rsidR="00853434" w:rsidRDefault="00853434">
      <w:pPr>
        <w:pStyle w:val="a4"/>
      </w:pPr>
      <w:r>
        <w:t>Как обстоят дела с этой отраслью промышленности у нас в стране мы попробуем разобраться в этой работе.</w:t>
      </w:r>
    </w:p>
    <w:p w:rsidR="00853434" w:rsidRDefault="00853434">
      <w:pPr>
        <w:pStyle w:val="a4"/>
      </w:pPr>
    </w:p>
    <w:p w:rsidR="00853434" w:rsidRDefault="00853434">
      <w:pPr>
        <w:pStyle w:val="a4"/>
      </w:pPr>
    </w:p>
    <w:p w:rsidR="00853434" w:rsidRDefault="00853434">
      <w:pPr>
        <w:pStyle w:val="2"/>
      </w:pPr>
      <w:r>
        <w:t>Технико-экономическое состояние нефтегазовой отрасли после приватизации</w:t>
      </w:r>
    </w:p>
    <w:p w:rsidR="00853434" w:rsidRDefault="00853434">
      <w:pPr>
        <w:pStyle w:val="a4"/>
      </w:pPr>
      <w:r>
        <w:t>Топливно-энергетический комплекс (ТЭК) всегда занимал ведущее положение в хозяйстве России. Процессы перераспределения государственной собственности, осуществляемые в гигантских масштабах, происходят в этой отрасли. А первым результатом явилось разобщение предприятий с органами планирования и контроля. Далее оно распространилось на взаимоотношения между предприятиями и их подразделениями, и как следствие - резкое падение добычи нефти (за 10 месяцев 1994 года по сравнению с тем же периодом 1993 года добыча сократилась на 12%). По данным президента компании ЮКОС, за последние 4 года нефтяные компании не ввели в эксплуатацию ни одного месторождения (хотя раньше вводили по 2-3 в год). Тенденция падения добычи сохраняется. Становятся частыми аварии из-за отсутствия профилактических мероприятий. Кризис неплатежей ухудшает финансовое положение предприятий. Имеет место несогласованность в работе нефтедобывающих и нефтепроводящих компаний.</w:t>
      </w:r>
    </w:p>
    <w:p w:rsidR="00853434" w:rsidRDefault="00853434">
      <w:pPr>
        <w:pStyle w:val="a4"/>
      </w:pPr>
      <w:r>
        <w:t>В ходе приватизации появилось несколько очень крупных компаний нефтяного сырьевого рынка - ЛУКойл, ЮКОС, СУРГУТНЕФТЕГАЗ, нефтепроводная компания ТРАНСНЕФТЬ, а также большое количество дочерних и мелких самостоятельных компаний. ЛУКойл, ЮКОС, СУРГУТНЕФТЕГАЗ были созданы по Указу Президента 17 ноября 1992 года. В их уставной капитал внесено по 38% обыкновенных акций предприятий, вошедших в состав этих компаний, а 45% обыкновенных акций самих компаний закреплено на три года в федеральной собственности.  Управление этими пакетами осуществляют представители Министерсва топливной промышленности, Госкомимущества и Антимонопольного комитета. До 40% акций созданных нефтяных компаний должны быть реализованы на инвестиционных конкурсах, из них до 15% - иностранным инвесторам.</w:t>
      </w:r>
    </w:p>
    <w:p w:rsidR="00853434" w:rsidRDefault="00853434">
      <w:pPr>
        <w:pStyle w:val="a4"/>
      </w:pPr>
      <w:r>
        <w:t>Акции ЛУКойл продавались на открытом аукционе. Вероятные претенденты на покупку - итольянский нефтехимический концерн ENI, банк  Paribas,  итольянская компания Agip, с которой создается СП LUKAgip.</w:t>
      </w:r>
    </w:p>
    <w:p w:rsidR="00853434" w:rsidRDefault="00853434">
      <w:pPr>
        <w:pStyle w:val="a4"/>
      </w:pPr>
      <w:r>
        <w:t>На чековых аукционах продавались также акции других нефтедобывающих компаний. Наиболее активное участие в них принимали: дочерняя фирма американского инвестиционного банка CS First Boston, выполнявшая заказ зарубежных компаний, брокерская фирма Тройка Диалог, Первый ваучерный фонд, ЛУКойл.</w:t>
      </w:r>
    </w:p>
    <w:p w:rsidR="00853434" w:rsidRDefault="00853434">
      <w:pPr>
        <w:pStyle w:val="a4"/>
      </w:pPr>
      <w:r>
        <w:t>В ноябре-декабре прошлого года 35,44% акций ЛУКойл и 40% акций ЮКОС продано на инвестиционных конкурсах. 7% акций ЮКОС передаются компании для размещения на рынке ценных бумаг и направления выручки на освоение нефтяных месторождений.</w:t>
      </w:r>
    </w:p>
    <w:p w:rsidR="00853434" w:rsidRDefault="00853434">
      <w:pPr>
        <w:pStyle w:val="a4"/>
      </w:pPr>
      <w:r>
        <w:t>45%акций СУРГУТНЕФТЕГАЗ находятся в федеральной собственности на 3 года, 8% акций было продано на региональном закрытом чековом аукционе в 1993 году. 7% остались у компании для реализации на денежном аукционе. Компания готовится ко второй эмиссии акций дочерних предприятий, а также к выпуску товарно-денежных облигаций (предварительный объем эмиссии - 60 млрд. руб.)</w:t>
      </w:r>
    </w:p>
    <w:p w:rsidR="00853434" w:rsidRDefault="00853434">
      <w:pPr>
        <w:pStyle w:val="a4"/>
      </w:pPr>
      <w:r>
        <w:t>Процесс формирования корпораций в нефтяной промышленности продолжается. В мае 1994 года, например, образована Восточная нефтяная компания.</w:t>
      </w:r>
    </w:p>
    <w:p w:rsidR="00853434" w:rsidRDefault="00853434">
      <w:pPr>
        <w:pStyle w:val="a4"/>
      </w:pPr>
      <w:r>
        <w:t>Кроме этого, активно идет процесс изменения характера управления нефтегазодобывающим комплексом, что , безусловно оказывает определяющее влияние на рынок акций. Согласно правительственной  “Концепции реформы управления нефтяным комплексом России” весь российский нефтяной рынок будут делить 10 - 15 вертикально-интегрированных компаний (ВИК), работающих “от разведки до бензоколонки”. Эта реформа управления должна обеспечить национальную безопасность, противостоять экспансии из-за границы, участвовать в разделении сфер влияния на мировом рынке. Концепция получила положительные отзывы от ЕБРР, Мирового банка, Бостон групп.</w:t>
      </w:r>
    </w:p>
    <w:p w:rsidR="00853434" w:rsidRDefault="00853434">
      <w:pPr>
        <w:pStyle w:val="a4"/>
      </w:pPr>
      <w:r>
        <w:t>Реализация этой концепции уже началась. Созданы по упомянутому принципу семь компаний - ЛУКойл, СУРГУТНЕФТЕГАЗ, СЛАВНЕФТЬ, ЮКОС, СИДАНКО, Восточная нефтяная компания и Оренбургская нефтяная компания, которые закрепляются на рынках стран СНГ. Получены лицензии на разработку 9 месторождений Узбекистана. Ожидается получение права на разработку 20% нефтяных запасов шельфа Азербайджана, лицензий на добычу нефти в Туркмении. Стабилизацию цен на нефтепродукты (кроме бензина)  за последние полгода Минтопэнерго объясняет именно реализацией данной концепции.</w:t>
      </w:r>
    </w:p>
    <w:p w:rsidR="00853434" w:rsidRDefault="00853434">
      <w:pPr>
        <w:pStyle w:val="a4"/>
      </w:pPr>
      <w:r>
        <w:t>Наиболее активна в настоящее время проблема предотвращения процесса сокращения добычи нефти. Один из способов - привлечение иностранных инвестиций.Получение средств с помощью кредитов оказалось неэффективным, так как 60% добытой нефти отправлялось за рубеж.</w:t>
      </w:r>
    </w:p>
    <w:p w:rsidR="00853434" w:rsidRDefault="00853434">
      <w:pPr>
        <w:pStyle w:val="a4"/>
      </w:pPr>
      <w:r>
        <w:t>По экспертным оценкам, иностранные инвесторы готовы вложить в нефтяную промышленность 60-70 млрд. долларов, но этому есть ряд препятствий: политическая нестабильность, высокий уровень налогооблажения, наличие экспортного тарифа, отсутствие правовых и финансовых гарантий. Есть еще один аспект - противодействие иностранному вмешательству в столь стратегически важную отрасль со стороны крупных российских нефтяных компаний, например, СУРГУТНЕФТЕГАЗА, ЛУКойл.</w:t>
      </w:r>
    </w:p>
    <w:p w:rsidR="00853434" w:rsidRDefault="00853434">
      <w:pPr>
        <w:pStyle w:val="a4"/>
      </w:pPr>
      <w:r>
        <w:t xml:space="preserve">Сейчас существует 40 совместных предприятий с иностранными фирмами, но пока прямые инвестиции в разработку нефтяных месторождений в России не столь значительны. </w:t>
      </w:r>
    </w:p>
    <w:p w:rsidR="00853434" w:rsidRDefault="00853434">
      <w:pPr>
        <w:pStyle w:val="2"/>
      </w:pPr>
    </w:p>
    <w:p w:rsidR="00853434" w:rsidRDefault="00853434">
      <w:pPr>
        <w:pStyle w:val="2"/>
      </w:pPr>
      <w:r>
        <w:t>фондовый ранок: перспективы развития</w:t>
      </w:r>
    </w:p>
    <w:p w:rsidR="00853434" w:rsidRDefault="00853434">
      <w:pPr>
        <w:pStyle w:val="a4"/>
      </w:pPr>
      <w:r>
        <w:t>Реформирование экономики России  cопровождается появлением новых форм в бизнесе. Особенно ярко это проявляется на рынке информационных услуг. Одним из примеров такого рода является проект компании Дан&amp;Брэдстрит-СНГ.</w:t>
      </w:r>
    </w:p>
    <w:p w:rsidR="00853434" w:rsidRDefault="00853434">
      <w:pPr>
        <w:pStyle w:val="a4"/>
      </w:pPr>
      <w:r>
        <w:t>События, связанные с зарождением и развитием фондового рынка акций приватизированных нефтяных предприятий, показали, что фантастическая до недавнего времени возможность стать совладельцем одной из базовых отраслей национального хозяйства стала реальностью и приобщиться к ней готово немало потенциальнвх инвесторов.</w:t>
      </w:r>
    </w:p>
    <w:p w:rsidR="00853434" w:rsidRDefault="00853434">
      <w:pPr>
        <w:pStyle w:val="a4"/>
      </w:pPr>
      <w:r>
        <w:t>Тяжелые времена, которые переживает сейчас рынок нефтяных акций, с точки зрения компании Дан&amp;Брэдстрит-СНГ, вызваны не снижением перспективности этих предприятий, а влиянием характера общеэкономической конъюктуры. Среди них события не только в Чичне или перемены в Госкомимуществе. Чрезвычайно важным представляется и такой момент, как информационный “голод”, который испытывают компании, управляющие финансовым капиталом и формирующие свой инвестиционный портфель. То, что нефтяные предприятия являются хорошим объектом вложения средств, уже не воспринимается участниками фондового рынка как аксиома. Нужны доказательства - факты и показатели, которые могут объективно отразить реальное положение дел и перспективы каждого конкретного нефтедобывающего АО. С такими же проблемами сталкиваются и представители финансовых, банковских и производственных структур, ищущие новые рынки и формы сотрудничества с предприятиями ТЭКа.</w:t>
      </w:r>
    </w:p>
    <w:p w:rsidR="00853434" w:rsidRDefault="00853434">
      <w:pPr>
        <w:pStyle w:val="a4"/>
      </w:pPr>
      <w:r>
        <w:t>Осознание данного факта и побудило компанию Дан&amp;Брэдстрит-СНГ к реализации следующего проекта. Компания подготовила и распространяет на российском рынке новый информационный продукт - бизнес-справку на российские предприятия нефтедобычи и нефтепереработки.</w:t>
      </w:r>
    </w:p>
    <w:p w:rsidR="00853434" w:rsidRDefault="00853434">
      <w:pPr>
        <w:pStyle w:val="a4"/>
      </w:pPr>
      <w:r>
        <w:t>Объектом исследования стали приватизированные предприятия нефтегазового комплекса, входящие в настоящее время в структуру российских вертикально-интегрированных компаний и государственного предприятия “Госнефть”.</w:t>
      </w:r>
    </w:p>
    <w:p w:rsidR="00853434" w:rsidRDefault="00853434">
      <w:pPr>
        <w:pStyle w:val="a4"/>
      </w:pPr>
      <w:r>
        <w:t>Главная задача проекта - наиболее полно представить общую характеристику конкретного предприятия, позволяющую составить довольно полное представление о нем как о партнере или объекте инвестиций. Ориентируя данный информационный продукт на широкий круг пользователей и учитывая их различную заинтересованность в оценках деятельности предприятия, в своем обзоре разработчики выделяют три крупных информационных блока - операционный, финансовый и фондовый.</w:t>
      </w:r>
    </w:p>
    <w:p w:rsidR="00853434" w:rsidRDefault="00853434">
      <w:pPr>
        <w:pStyle w:val="a4"/>
      </w:pPr>
      <w:r>
        <w:t>Операционная часть</w:t>
      </w:r>
      <w:r>
        <w:rPr>
          <w:b/>
        </w:rPr>
        <w:t xml:space="preserve"> </w:t>
      </w:r>
      <w:r>
        <w:t>включает в себя следующие разделы:</w:t>
      </w:r>
    </w:p>
    <w:p w:rsidR="00853434" w:rsidRDefault="00853434">
      <w:pPr>
        <w:pStyle w:val="10"/>
      </w:pPr>
      <w:r>
        <w:t>данные по идентификации;</w:t>
      </w:r>
    </w:p>
    <w:p w:rsidR="00853434" w:rsidRDefault="00853434">
      <w:pPr>
        <w:pStyle w:val="10"/>
      </w:pPr>
      <w:r>
        <w:t>структура с учетом результатов приватизации;</w:t>
      </w:r>
    </w:p>
    <w:p w:rsidR="00853434" w:rsidRDefault="00853434">
      <w:pPr>
        <w:pStyle w:val="10"/>
      </w:pPr>
      <w:r>
        <w:t>учредительская деятельность, включая СП;</w:t>
      </w:r>
    </w:p>
    <w:p w:rsidR="00853434" w:rsidRDefault="00853434">
      <w:pPr>
        <w:pStyle w:val="10"/>
      </w:pPr>
      <w:r>
        <w:t>руководители;</w:t>
      </w:r>
    </w:p>
    <w:p w:rsidR="00853434" w:rsidRDefault="00853434">
      <w:pPr>
        <w:pStyle w:val="10"/>
      </w:pPr>
      <w:r>
        <w:t>производственные показатели;</w:t>
      </w:r>
    </w:p>
    <w:p w:rsidR="00853434" w:rsidRDefault="00853434">
      <w:pPr>
        <w:pStyle w:val="10"/>
      </w:pPr>
      <w:r>
        <w:t>список месторождений с размером запасов (для             нефтедобывающих АО);</w:t>
      </w:r>
    </w:p>
    <w:p w:rsidR="00853434" w:rsidRDefault="00853434">
      <w:pPr>
        <w:pStyle w:val="10"/>
      </w:pPr>
      <w:r>
        <w:t>характеристика производственных мощностей.</w:t>
      </w:r>
    </w:p>
    <w:p w:rsidR="00853434" w:rsidRDefault="00853434">
      <w:pPr>
        <w:pStyle w:val="a4"/>
      </w:pPr>
      <w:r>
        <w:t>Таким образом, здесь отражается качественное состояние предприятия и его структурных производственных фондов, перспектив, связанных с расширением сферы деятельности, стратегия сотрудничества с иностранными партнерами.</w:t>
      </w:r>
    </w:p>
    <w:p w:rsidR="00853434" w:rsidRDefault="00853434">
      <w:pPr>
        <w:pStyle w:val="a4"/>
      </w:pPr>
      <w:r>
        <w:t>Финансово-экономическая характеристика включает в себя следующую информацию:</w:t>
      </w:r>
    </w:p>
    <w:p w:rsidR="00853434" w:rsidRDefault="00853434">
      <w:pPr>
        <w:pStyle w:val="10"/>
      </w:pPr>
      <w:r>
        <w:t>поставка продукции внутри СНГ;</w:t>
      </w:r>
    </w:p>
    <w:p w:rsidR="00853434" w:rsidRDefault="00853434">
      <w:pPr>
        <w:pStyle w:val="10"/>
      </w:pPr>
      <w:r>
        <w:t>экспорт: объем-контракт-посредник;</w:t>
      </w:r>
    </w:p>
    <w:p w:rsidR="00853434" w:rsidRDefault="00853434">
      <w:pPr>
        <w:pStyle w:val="10"/>
      </w:pPr>
      <w:r>
        <w:t>проекты по привлечению иностранных инвестиций;</w:t>
      </w:r>
    </w:p>
    <w:p w:rsidR="00853434" w:rsidRDefault="00853434">
      <w:pPr>
        <w:pStyle w:val="10"/>
      </w:pPr>
      <w:r>
        <w:t>основные финансовые показатели деятельности.</w:t>
      </w:r>
    </w:p>
    <w:p w:rsidR="00853434" w:rsidRDefault="00853434">
      <w:pPr>
        <w:pStyle w:val="a4"/>
      </w:pPr>
      <w:r>
        <w:t>Этот раздел будет чрезвычайно интересен для банкиров, представителей финансово-инвестиционных структур. Он позволяет дать оценку финансовой устойчивости и надежности вложений в компанию.</w:t>
      </w:r>
    </w:p>
    <w:p w:rsidR="00853434" w:rsidRDefault="00853434">
      <w:pPr>
        <w:pStyle w:val="a4"/>
      </w:pPr>
      <w:r>
        <w:t>И, наконец, заключительной частью данного обзора является раздел, в котором представлена характеристика предприятия как элемента ценных бумаг.</w:t>
      </w:r>
    </w:p>
    <w:p w:rsidR="00853434" w:rsidRDefault="00853434">
      <w:pPr>
        <w:pStyle w:val="a4"/>
      </w:pPr>
      <w:r>
        <w:t>Положение предприятия на рынке ценных бумаг. Это не только оценка динамики курса акций на вторичном рынке. В данный раздел входят показатели распределения акций между акционерами, оценка участия в уставном капитале крупных инвестиционных структур России и Запада, взаимоотношения с материнскими компаниями и другие показатели.</w:t>
      </w:r>
    </w:p>
    <w:p w:rsidR="00853434" w:rsidRDefault="00853434">
      <w:pPr>
        <w:pStyle w:val="a4"/>
      </w:pPr>
      <w:r>
        <w:t>В отличие от большенства подобных материалов по проблемам топливо-энергетического комплекса бизнес-справка Дан&amp;Брэдстрит-СНГ составлена на основе обработки независимых источников и не содержит тенденциозных оценок. Данные, собранные и классифицированные в справке, помогут потенциальным инвесторам и партнерам самостоятельно решить: как, с кем и на каких условиях вести дела. Проект по подготовке информационных обзоров по предприятиям ТЭКа, начатый Дан&amp;Брэдстрит-СНГ, представляет собой новое направление на российском рынке информационных услуг и отвечает насущным потребностям российского фондового и финансового рынка.</w:t>
      </w:r>
      <w:bookmarkStart w:id="0" w:name="_GoBack"/>
      <w:bookmarkEnd w:id="0"/>
    </w:p>
    <w:sectPr w:rsidR="00853434">
      <w:headerReference w:type="even" r:id="rId6"/>
      <w:headerReference w:type="default" r:id="rId7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34" w:rsidRDefault="00853434">
      <w:r>
        <w:separator/>
      </w:r>
    </w:p>
  </w:endnote>
  <w:endnote w:type="continuationSeparator" w:id="0">
    <w:p w:rsidR="00853434" w:rsidRDefault="0085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34" w:rsidRDefault="00853434">
      <w:r>
        <w:separator/>
      </w:r>
    </w:p>
  </w:footnote>
  <w:footnote w:type="continuationSeparator" w:id="0">
    <w:p w:rsidR="00853434" w:rsidRDefault="0085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434" w:rsidRDefault="00853434">
    <w:pPr>
      <w:pStyle w:val="a6"/>
      <w:framePr w:wrap="around" w:vAnchor="text" w:hAnchor="margin" w:xAlign="right" w:y="1"/>
      <w:rPr>
        <w:rStyle w:val="a7"/>
      </w:rPr>
    </w:pPr>
  </w:p>
  <w:p w:rsidR="00853434" w:rsidRDefault="0085343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434" w:rsidRDefault="008534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>2</w:t>
    </w:r>
  </w:p>
  <w:p w:rsidR="00853434" w:rsidRDefault="0085343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1DD"/>
    <w:rsid w:val="002811DD"/>
    <w:rsid w:val="0043152A"/>
    <w:rsid w:val="00853434"/>
    <w:rsid w:val="0094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1772C-1BB3-454D-812D-1D14C995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keepLines/>
      <w:pageBreakBefore/>
      <w:pBdr>
        <w:bottom w:val="single" w:sz="6" w:space="3" w:color="auto"/>
      </w:pBdr>
      <w:spacing w:before="360" w:after="120" w:line="360" w:lineRule="exact"/>
      <w:outlineLvl w:val="0"/>
    </w:pPr>
    <w:rPr>
      <w:rFonts w:ascii="Arial" w:hAnsi="Arial"/>
      <w:b/>
      <w:caps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Дип_2"/>
    <w:next w:val="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ourier New" w:hAnsi="Courier New"/>
      <w:b/>
      <w:caps/>
      <w:noProof/>
      <w:sz w:val="32"/>
    </w:rPr>
  </w:style>
  <w:style w:type="paragraph" w:customStyle="1" w:styleId="a3">
    <w:name w:val="Текст обзаца"/>
    <w:basedOn w:val="a"/>
    <w:pPr>
      <w:ind w:firstLine="709"/>
      <w:jc w:val="both"/>
    </w:pPr>
    <w:rPr>
      <w:rFonts w:ascii="Arial" w:hAnsi="Arial"/>
      <w:b/>
    </w:rPr>
  </w:style>
  <w:style w:type="paragraph" w:customStyle="1" w:styleId="10">
    <w:name w:val="СписДипБюл_1"/>
    <w:basedOn w:val="a"/>
    <w:pPr>
      <w:ind w:left="284" w:right="113" w:hanging="284"/>
      <w:jc w:val="both"/>
    </w:pPr>
    <w:rPr>
      <w:sz w:val="28"/>
    </w:rPr>
  </w:style>
  <w:style w:type="paragraph" w:customStyle="1" w:styleId="a4">
    <w:name w:val="Такст диплома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kern w:val="28"/>
      <w:sz w:val="28"/>
    </w:rPr>
  </w:style>
  <w:style w:type="paragraph" w:customStyle="1" w:styleId="11">
    <w:name w:val="ЗагДип_1"/>
    <w:next w:val="2"/>
    <w:pPr>
      <w:pageBreakBefore/>
      <w:pBdr>
        <w:bottom w:val="single" w:sz="6" w:space="1" w:color="auto"/>
        <w:between w:val="single" w:sz="6" w:space="1" w:color="auto"/>
      </w:pBd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Courier New" w:hAnsi="Courier New"/>
      <w:b/>
      <w:caps/>
      <w:noProof/>
      <w:sz w:val="36"/>
    </w:rPr>
  </w:style>
  <w:style w:type="paragraph" w:customStyle="1" w:styleId="20">
    <w:name w:val="СписДипБюл_2"/>
    <w:basedOn w:val="10"/>
  </w:style>
  <w:style w:type="paragraph" w:customStyle="1" w:styleId="a5">
    <w:name w:val="Верхн.колонтитул базовый"/>
    <w:basedOn w:val="a"/>
    <w:pPr>
      <w:keepLines/>
      <w:tabs>
        <w:tab w:val="center" w:pos="4320"/>
        <w:tab w:val="right" w:pos="8640"/>
      </w:tabs>
    </w:pPr>
    <w:rPr>
      <w:b/>
      <w:caps/>
      <w:spacing w:val="20"/>
      <w:sz w:val="18"/>
    </w:rPr>
  </w:style>
  <w:style w:type="paragraph" w:styleId="a6">
    <w:name w:val="header"/>
    <w:basedOn w:val="a5"/>
    <w:semiHidden/>
  </w:style>
  <w:style w:type="character" w:styleId="a7">
    <w:name w:val="page number"/>
    <w:semiHidden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НЕФТЕГАЗОВЫЙ КОМПЛЕКС</vt:lpstr>
    </vt:vector>
  </TitlesOfParts>
  <Company>SPecialiST RePack</Company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НЕФТЕГАЗОВЫЙ КОМПЛЕКС</dc:title>
  <dc:subject/>
  <dc:creator>Ловчиков Денис Сергеевич</dc:creator>
  <cp:keywords/>
  <cp:lastModifiedBy>admin</cp:lastModifiedBy>
  <cp:revision>2</cp:revision>
  <cp:lastPrinted>1899-12-31T22:00:00Z</cp:lastPrinted>
  <dcterms:created xsi:type="dcterms:W3CDTF">2014-02-14T08:18:00Z</dcterms:created>
  <dcterms:modified xsi:type="dcterms:W3CDTF">2014-02-14T08:18:00Z</dcterms:modified>
</cp:coreProperties>
</file>