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7B8E" w:rsidRDefault="00947B8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Некоторые аспекты накопления </w:t>
      </w:r>
      <w:r>
        <w:rPr>
          <w:b/>
          <w:bCs/>
          <w:color w:val="000000"/>
          <w:sz w:val="32"/>
          <w:szCs w:val="32"/>
          <w:vertAlign w:val="superscript"/>
        </w:rPr>
        <w:t>90</w:t>
      </w:r>
      <w:r>
        <w:rPr>
          <w:b/>
          <w:bCs/>
          <w:color w:val="000000"/>
          <w:sz w:val="32"/>
          <w:szCs w:val="32"/>
        </w:rPr>
        <w:t xml:space="preserve">Sr и </w:t>
      </w:r>
      <w:r>
        <w:rPr>
          <w:b/>
          <w:bCs/>
          <w:color w:val="000000"/>
          <w:sz w:val="32"/>
          <w:szCs w:val="32"/>
          <w:vertAlign w:val="superscript"/>
        </w:rPr>
        <w:t>90</w:t>
      </w:r>
      <w:r>
        <w:rPr>
          <w:b/>
          <w:bCs/>
          <w:color w:val="000000"/>
          <w:sz w:val="32"/>
          <w:szCs w:val="32"/>
        </w:rPr>
        <w:t>Y в березовом соке</w:t>
      </w:r>
    </w:p>
    <w:p w:rsidR="00947B8E" w:rsidRDefault="00947B8E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rStyle w:val="a6"/>
          <w:i w:val="0"/>
          <w:iCs w:val="0"/>
          <w:color w:val="000000"/>
          <w:sz w:val="28"/>
          <w:szCs w:val="28"/>
        </w:rPr>
        <w:t>к.с-х.н. Переволоцкий А.Н., к.с-х.н. Булавик И.М., Диденко Л.Г.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Радионуклиды в экологических исследованиях часто используются в качестве метки, с помощью которой удобно отслеживать движение их химических и изотопных аналогов. Так, </w:t>
      </w:r>
      <w:r>
        <w:rPr>
          <w:color w:val="000000"/>
          <w:sz w:val="24"/>
          <w:szCs w:val="24"/>
          <w:vertAlign w:val="superscript"/>
        </w:rPr>
        <w:t>137</w:t>
      </w:r>
      <w:r>
        <w:rPr>
          <w:color w:val="000000"/>
          <w:sz w:val="24"/>
          <w:szCs w:val="24"/>
        </w:rPr>
        <w:t xml:space="preserve">Cs отражает миграцию калия и стабильного цезия,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v кальция и стабильного стронция. Поэтому изучение перераспределения искусственных радионуклидов в экосистемах имеет важное значение для более глубокого понимания механизмов функционирования природных сообществ.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данном аспекте удобным объектом исследования корневого поступления радионуклидов для березы обыкновенной является ее сок в период интенсивного весеннего сокодвижения. В его составе находятся не только сахара и аминокислоты, запасенные в предыдущий вегетационный период, но и минеральные и органические соединения, поступившие из почвы. Именно это и позволяет оценить корневую доступность широкого спектра веществ. Однако, если концентрация основных минеральных элементов, имеющих биогенное значение, в соке изучена в достаточной степени /1-3/, то для радионуклидов подобные исследования начали проводится только в последние годы и связано это с радиоактивным загрязнением окружающей среды в результате аварии на ЧАЭС. Причем, при довольно подробном изучении закономерностей корневого поступления </w:t>
      </w:r>
      <w:r>
        <w:rPr>
          <w:color w:val="000000"/>
          <w:sz w:val="24"/>
          <w:szCs w:val="24"/>
          <w:vertAlign w:val="superscript"/>
        </w:rPr>
        <w:t>137</w:t>
      </w:r>
      <w:r>
        <w:rPr>
          <w:color w:val="000000"/>
          <w:sz w:val="24"/>
          <w:szCs w:val="24"/>
        </w:rPr>
        <w:t xml:space="preserve">Сs в березовый сок /4-6/, эти вопросы для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и для его дочернего радионуклида -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практически не изучены. Поэтому целью данного исследования являлось изучение особенностей накопления радионуклидов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в березовом соке. </w:t>
      </w:r>
    </w:p>
    <w:p w:rsidR="00947B8E" w:rsidRDefault="00947B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Объекты и методика исследований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Исследования проводились на стационарных опытных объектах сектора радиологии леса Института леса НАНБ в дальней зоне радиоактивного загрязнения в кв.340 Добрушского лесничества Гомелского лесохоза и кв.168 Ветковского лесничества Ветковского спецлесхоза (170 км северо-западнее ЧАЭС). Сосново-березовые насаждения на пробных площадях относятся к мшистому типу леса, их возраст составляет 40-60 лет. Радиометрический анализ почвы показал, что поверхностная активность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Sr в пределах указанных кварталов составляла 24-41 кБк/м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>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каждой пробной площади подсачивалось 3-5 деревьев. При подсочке в каждом из них специальным буравом в комлевой части просверливалось отверстие диаметром 1,5 см и на глубину 1 см непосредственно под которым закреплялся металлический желобок. В месте отбора прикреплялся полиэтиленовый пакет, что позволило до минимума сократить привнесение радиоактивности извне. Длительность отбора одной пробы составляла около 1 суток и за это время объем заготовленного сока составлял 2-3 литра. После завершения отбора пробы подкислялись, переливались в полиэтиленовые емкости и доставлялись в лабораторию. В кв. 168 отбор был произведен 8 апреля, а в кв. 340 - 13 апреля.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Определения объемной концентрации радионуклидов в березовом соке производилось </w:t>
      </w:r>
      <w:r w:rsidR="002023DB">
        <w:rPr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24pt">
            <v:imagedata r:id="rId5" o:title="f2"/>
          </v:shape>
        </w:pict>
      </w:r>
      <w:r>
        <w:rPr>
          <w:color w:val="000000"/>
          <w:sz w:val="24"/>
          <w:szCs w:val="24"/>
        </w:rPr>
        <w:t xml:space="preserve">-радиометром EL-1311 ?Атомтех¦. Для исследования спектров излучения в данном приборе используется планарный детектор типа ?Фосвич¦, состоящий из пластикового сцинтиллятора </w:t>
      </w:r>
      <w:r w:rsidR="002023DB">
        <w:rPr>
          <w:color w:val="000000"/>
          <w:sz w:val="24"/>
          <w:szCs w:val="24"/>
        </w:rPr>
        <w:pict>
          <v:shape id="_x0000_i1026" type="#_x0000_t75" style="width:69pt;height:21pt">
            <v:imagedata r:id="rId6" o:title="f3"/>
          </v:shape>
        </w:pict>
      </w:r>
      <w:r>
        <w:rPr>
          <w:color w:val="000000"/>
          <w:sz w:val="24"/>
          <w:szCs w:val="24"/>
        </w:rPr>
        <w:t xml:space="preserve">мм для регистрации </w:t>
      </w:r>
      <w:r w:rsidR="002023DB">
        <w:rPr>
          <w:color w:val="000000"/>
          <w:sz w:val="24"/>
          <w:szCs w:val="24"/>
        </w:rPr>
        <w:pict>
          <v:shape id="_x0000_i1027" type="#_x0000_t75" style="width:12pt;height:15.75pt">
            <v:imagedata r:id="rId7" o:title="f"/>
          </v:shape>
        </w:pict>
      </w:r>
      <w:r>
        <w:rPr>
          <w:color w:val="000000"/>
          <w:sz w:val="24"/>
          <w:szCs w:val="24"/>
        </w:rPr>
        <w:t xml:space="preserve">-излучения и неорганического сцинтиллятора СsI(Tl) </w:t>
      </w:r>
      <w:r w:rsidR="002023DB">
        <w:rPr>
          <w:color w:val="000000"/>
          <w:sz w:val="24"/>
          <w:szCs w:val="24"/>
        </w:rPr>
        <w:pict>
          <v:shape id="_x0000_i1028" type="#_x0000_t75" style="width:51.75pt;height:14.25pt">
            <v:imagedata r:id="rId8" o:title="f4"/>
          </v:shape>
        </w:pict>
      </w:r>
      <w:r>
        <w:rPr>
          <w:color w:val="000000"/>
          <w:sz w:val="24"/>
          <w:szCs w:val="24"/>
        </w:rPr>
        <w:t xml:space="preserve">мм для исследования спектра </w:t>
      </w:r>
      <w:r w:rsidR="002023DB">
        <w:rPr>
          <w:color w:val="000000"/>
          <w:sz w:val="24"/>
          <w:szCs w:val="24"/>
        </w:rPr>
        <w:pict>
          <v:shape id="_x0000_i1029" type="#_x0000_t75" style="width:9.75pt;height:12.75pt">
            <v:imagedata r:id="rId9" o:title="f5"/>
          </v:shape>
        </w:pict>
      </w:r>
      <w:r>
        <w:rPr>
          <w:color w:val="000000"/>
          <w:sz w:val="24"/>
          <w:szCs w:val="24"/>
        </w:rPr>
        <w:t xml:space="preserve">-излучения. Определение концентрации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проводится методами </w:t>
      </w:r>
      <w:r w:rsidR="002023DB">
        <w:rPr>
          <w:color w:val="000000"/>
          <w:sz w:val="24"/>
          <w:szCs w:val="24"/>
        </w:rPr>
        <w:pict>
          <v:shape id="_x0000_i1030" type="#_x0000_t75" style="width:12pt;height:15.75pt">
            <v:imagedata r:id="rId7" o:title="f"/>
          </v:shape>
        </w:pict>
      </w:r>
      <w:r>
        <w:rPr>
          <w:color w:val="000000"/>
          <w:sz w:val="24"/>
          <w:szCs w:val="24"/>
        </w:rPr>
        <w:t xml:space="preserve">-радиометрии по излучению дочернего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Y, причем предполагается наличие радиоактивного равновесия между материнским и дочерним радионуклидами в исследуемой пробе /7/. В качестве выходного параметра программное обеспечение радиометра приводит величину суммарной объемной b -активности по смеси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Sr+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Y. Приборная эффективность регистрации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Y составляет 5,1 х 10</w:t>
      </w:r>
      <w:r>
        <w:rPr>
          <w:color w:val="000000"/>
          <w:sz w:val="24"/>
          <w:szCs w:val="24"/>
          <w:vertAlign w:val="superscript"/>
        </w:rPr>
        <w:t>-3</w:t>
      </w:r>
      <w:r>
        <w:rPr>
          <w:color w:val="000000"/>
          <w:sz w:val="24"/>
          <w:szCs w:val="24"/>
        </w:rPr>
        <w:t xml:space="preserve"> л х Бк</w:t>
      </w:r>
      <w:r>
        <w:rPr>
          <w:color w:val="000000"/>
          <w:sz w:val="24"/>
          <w:szCs w:val="24"/>
          <w:vertAlign w:val="superscript"/>
        </w:rPr>
        <w:t xml:space="preserve">-1 </w:t>
      </w:r>
      <w:r>
        <w:rPr>
          <w:color w:val="000000"/>
          <w:sz w:val="24"/>
          <w:szCs w:val="24"/>
        </w:rPr>
        <w:t>х с</w:t>
      </w:r>
      <w:r>
        <w:rPr>
          <w:color w:val="000000"/>
          <w:sz w:val="24"/>
          <w:szCs w:val="24"/>
          <w:vertAlign w:val="superscript"/>
        </w:rPr>
        <w:t>-1</w:t>
      </w:r>
      <w:r>
        <w:rPr>
          <w:color w:val="000000"/>
          <w:sz w:val="24"/>
          <w:szCs w:val="24"/>
        </w:rPr>
        <w:t xml:space="preserve">/7/. Измерение проб проводилось в стандартных 200 мл сосудах. Время измерения каждой пробы составляло 40-60 минут. </w:t>
      </w:r>
    </w:p>
    <w:p w:rsidR="00947B8E" w:rsidRDefault="00947B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Результаты и обсуждение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проведении повторных радиометрических анализов проб березового сока, отобранных в кв. 168 8 апреля, было замечено, что суммарная объемная активность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Sr+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в них снизилась от 195-240 Бк/л до 105-151 Бк/л примерно за трое суток (табл.1). Схожий характер уменьшения объемной концентрации указанных радионуклидов был зафиксирован и на 10 других опытных объектах в Ветковском и Гомельском лесхозах, где нами проводятся многолетние мониторинговые исследования за накоплением радионуклидов в березовом соке. Причиной этого явления, по нашему мнению, могло быть нарушение в березовом соке радиоактивного равновесия между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в пользу дочернего радионуклида. Для подтверждения этой гипотезы и установления временных параметров изменения объемной активности был проведен специальный эксперимент, при котором пробы сока, отобранные в кв.340, подвергались радиометрическому анализу в течение месяца. Первоначально измерения проводились ровно через сутки, а после 18 апреля через двое-трое суток. Сроки между измерениями и их результаты приведены в табл. 1.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Согласно данным, приведенным в таблице 1, суммарная объемная активность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Sr+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Y в березовом соке из кв. 340 через 10 часов после отбора проб составляла 200-280 Бк/л. Оценивая временную динамику объемной концентрации радионуклидов, нетрудно заметить во всех пробах монотонное снижение этого показателя с последующим выходом на плато при 45-50 Бк/л по истечению 200-250 часов после отбора пробы. При этом наиболее интенсивно объемная активность уменьшается в первые трое суток.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Очевидно, что выявленное уменьшение объемной активности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Sr+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в березовом соке при указанных в методике особенностях измерении данным прибором, может быть определено как раз нарушением радиоактивного равновесия между этими генетически связанными радионуклидами в сторону дочернего радионуклида. В противном случае возможны были бы два варианта: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объемная активность не претерпевала никаких изменений во времени. Этому случаю соответствовало бы поступление обоих радионуклидов из почвы в березовый сок в равных количествах;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объемная активность увеличивалась во времени с последующим выходом на плато. Этому случаю соответствует более интенсивное поступление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в березовый сок из почвы по сравнению с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Y. В дальнейшем, по мере распада материнского радионуклида, количество дочернего будет возрастать до установления состояния радиоактивного равновесия между ними. Подобное увеличение могло быть зафиксировано радиометром при измерении одних и тех же пробы в течение длительного времени.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Можно предположить, что корневое поступление генетически связанных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в березу происходит по различным закономерностям, из-за чего радиоиттрий поступает более интенсивно, чем радиостронций. Поэтому, непосредственно после отбора объемная </w:t>
      </w:r>
      <w:r w:rsidR="002023DB">
        <w:rPr>
          <w:color w:val="000000"/>
          <w:sz w:val="24"/>
          <w:szCs w:val="24"/>
        </w:rPr>
        <w:pict>
          <v:shape id="_x0000_i1031" type="#_x0000_t75" style="width:12pt;height:15.75pt">
            <v:imagedata r:id="rId7" o:title="f"/>
          </v:shape>
        </w:pict>
      </w:r>
      <w:r>
        <w:rPr>
          <w:color w:val="000000"/>
          <w:sz w:val="24"/>
          <w:szCs w:val="24"/>
        </w:rPr>
        <w:t xml:space="preserve">-активность березового сока максимальна. В дальнейшем, происходит радиоактивный распад ?избыточно¦ поступившего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и концентрация уменьшается до тех пор, пока между материнским и дочерним радионуклидами не установится состояние радиоактивного равновесия.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Фактически, задача сводится к классическому в ядерной физике случаю исследования динамики объемной активности смеси материнского и дочернего радионуклидов, для которой характерно смещение радиоактивного равновесия в сторону последнего. Для более точного определения соотношения радионуклидов на момент отбора, позволяющего оценить уровни их поступления в березовый сок, динамика объемной активности для радиоиттрия была смоделирована математически: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>Ac</w:t>
      </w:r>
      <w:r>
        <w:rPr>
          <w:color w:val="000000"/>
          <w:sz w:val="24"/>
          <w:szCs w:val="24"/>
          <w:vertAlign w:val="subscript"/>
          <w:lang w:val="en-US"/>
        </w:rPr>
        <w:t>t</w:t>
      </w:r>
      <w:r>
        <w:rPr>
          <w:color w:val="000000"/>
          <w:sz w:val="24"/>
          <w:szCs w:val="24"/>
          <w:vertAlign w:val="superscript"/>
          <w:lang w:val="en-US"/>
        </w:rPr>
        <w:t>Y</w:t>
      </w:r>
      <w:r>
        <w:rPr>
          <w:color w:val="000000"/>
          <w:sz w:val="24"/>
          <w:szCs w:val="24"/>
          <w:lang w:val="en-US"/>
        </w:rPr>
        <w:t xml:space="preserve"> = Ac</w:t>
      </w:r>
      <w:r>
        <w:rPr>
          <w:color w:val="000000"/>
          <w:sz w:val="24"/>
          <w:szCs w:val="24"/>
          <w:vertAlign w:val="subscript"/>
          <w:lang w:val="en-US"/>
        </w:rPr>
        <w:t>0</w:t>
      </w:r>
      <w:r>
        <w:rPr>
          <w:color w:val="000000"/>
          <w:sz w:val="24"/>
          <w:szCs w:val="24"/>
          <w:vertAlign w:val="superscript"/>
          <w:lang w:val="en-US"/>
        </w:rPr>
        <w:t>Y</w:t>
      </w:r>
      <w:r>
        <w:rPr>
          <w:color w:val="000000"/>
          <w:sz w:val="24"/>
          <w:szCs w:val="24"/>
          <w:lang w:val="en-US"/>
        </w:rPr>
        <w:t>exp(-0.693  t / T)+ Ac</w:t>
      </w:r>
      <w:r>
        <w:rPr>
          <w:color w:val="000000"/>
          <w:sz w:val="24"/>
          <w:szCs w:val="24"/>
          <w:vertAlign w:val="subscript"/>
          <w:lang w:val="en-US"/>
        </w:rPr>
        <w:t>0</w:t>
      </w:r>
      <w:r>
        <w:rPr>
          <w:color w:val="000000"/>
          <w:sz w:val="24"/>
          <w:szCs w:val="24"/>
          <w:vertAlign w:val="superscript"/>
          <w:lang w:val="en-US"/>
        </w:rPr>
        <w:t>Sr</w:t>
      </w:r>
      <w:r>
        <w:rPr>
          <w:color w:val="000000"/>
          <w:sz w:val="24"/>
          <w:szCs w:val="24"/>
          <w:lang w:val="en-US"/>
        </w:rPr>
        <w:t>[1-exp(-0.693 t/T)],</w:t>
      </w:r>
      <w:r w:rsidR="002023DB">
        <w:rPr>
          <w:color w:val="000000"/>
          <w:sz w:val="24"/>
          <w:szCs w:val="24"/>
          <w:lang w:val="en-US"/>
        </w:rPr>
        <w:pict>
          <v:shape id="_x0000_i1032" type="#_x0000_t75" style="width:9.75pt;height:18.75pt">
            <v:imagedata r:id="rId10" o:title="Image238"/>
          </v:shape>
        </w:pict>
      </w:r>
      <w:r>
        <w:rPr>
          <w:color w:val="000000"/>
          <w:sz w:val="24"/>
          <w:szCs w:val="24"/>
          <w:lang w:val="en-US"/>
        </w:rPr>
        <w:t xml:space="preserve"> (1)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где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Ac</w:t>
      </w:r>
      <w:r>
        <w:rPr>
          <w:color w:val="000000"/>
          <w:sz w:val="24"/>
          <w:szCs w:val="24"/>
          <w:vertAlign w:val="subscript"/>
        </w:rPr>
        <w:t>t</w:t>
      </w:r>
      <w:r>
        <w:rPr>
          <w:color w:val="000000"/>
          <w:sz w:val="24"/>
          <w:szCs w:val="24"/>
          <w:vertAlign w:val="superscript"/>
        </w:rPr>
        <w:t>Y</w:t>
      </w:r>
      <w:r>
        <w:rPr>
          <w:color w:val="000000"/>
          <w:sz w:val="24"/>
          <w:szCs w:val="24"/>
          <w:vertAlign w:val="subscript"/>
        </w:rPr>
        <w:t xml:space="preserve"> </w:t>
      </w:r>
      <w:r>
        <w:rPr>
          <w:color w:val="000000"/>
          <w:sz w:val="24"/>
          <w:szCs w:val="24"/>
        </w:rPr>
        <w:t xml:space="preserve">v объемная </w:t>
      </w:r>
      <w:r w:rsidR="002023DB">
        <w:rPr>
          <w:color w:val="000000"/>
          <w:sz w:val="24"/>
          <w:szCs w:val="24"/>
        </w:rPr>
        <w:pict>
          <v:shape id="_x0000_i1033" type="#_x0000_t75" style="width:12pt;height:15.75pt">
            <v:imagedata r:id="rId7" o:title="f"/>
          </v:shape>
        </w:pict>
      </w:r>
      <w:r>
        <w:rPr>
          <w:color w:val="000000"/>
          <w:sz w:val="24"/>
          <w:szCs w:val="24"/>
        </w:rPr>
        <w:t xml:space="preserve">-активность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Y в березовом соке в момент времени t;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Ac</w:t>
      </w:r>
      <w:r>
        <w:rPr>
          <w:color w:val="000000"/>
          <w:sz w:val="24"/>
          <w:szCs w:val="24"/>
          <w:vertAlign w:val="subscript"/>
        </w:rPr>
        <w:t>0</w:t>
      </w:r>
      <w:r>
        <w:rPr>
          <w:color w:val="000000"/>
          <w:sz w:val="24"/>
          <w:szCs w:val="24"/>
          <w:vertAlign w:val="superscript"/>
        </w:rPr>
        <w:t>Y</w:t>
      </w:r>
      <w:r>
        <w:rPr>
          <w:color w:val="000000"/>
          <w:sz w:val="24"/>
          <w:szCs w:val="24"/>
        </w:rPr>
        <w:t xml:space="preserve"> v объемная </w:t>
      </w:r>
      <w:r w:rsidR="002023DB">
        <w:rPr>
          <w:color w:val="000000"/>
          <w:sz w:val="24"/>
          <w:szCs w:val="24"/>
        </w:rPr>
        <w:pict>
          <v:shape id="_x0000_i1034" type="#_x0000_t75" style="width:12pt;height:15.75pt">
            <v:imagedata r:id="rId7" o:title="f"/>
          </v:shape>
        </w:pict>
      </w:r>
      <w:r>
        <w:rPr>
          <w:color w:val="000000"/>
          <w:sz w:val="24"/>
          <w:szCs w:val="24"/>
        </w:rPr>
        <w:t xml:space="preserve">-активность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Y в березовом соке в момент начала отбора;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Ac</w:t>
      </w:r>
      <w:r>
        <w:rPr>
          <w:color w:val="000000"/>
          <w:sz w:val="24"/>
          <w:szCs w:val="24"/>
          <w:vertAlign w:val="subscript"/>
        </w:rPr>
        <w:t>0</w:t>
      </w:r>
      <w:r>
        <w:rPr>
          <w:color w:val="000000"/>
          <w:sz w:val="24"/>
          <w:szCs w:val="24"/>
          <w:vertAlign w:val="superscript"/>
        </w:rPr>
        <w:t>Sr</w:t>
      </w:r>
      <w:r>
        <w:rPr>
          <w:color w:val="000000"/>
          <w:sz w:val="24"/>
          <w:szCs w:val="24"/>
        </w:rPr>
        <w:t xml:space="preserve"> - объемная </w:t>
      </w:r>
      <w:r w:rsidR="002023DB">
        <w:rPr>
          <w:color w:val="000000"/>
          <w:sz w:val="24"/>
          <w:szCs w:val="24"/>
        </w:rPr>
        <w:pict>
          <v:shape id="_x0000_i1035" type="#_x0000_t75" style="width:12pt;height:15.75pt">
            <v:imagedata r:id="rId7" o:title="f"/>
          </v:shape>
        </w:pict>
      </w:r>
      <w:r>
        <w:rPr>
          <w:color w:val="000000"/>
          <w:sz w:val="24"/>
          <w:szCs w:val="24"/>
        </w:rPr>
        <w:t xml:space="preserve">-активность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Sr в березовом соке в момент начала отбора, но учитывая большой период полураспада радиостронция, ее можно принять постоянной в течение 720 часов измерений на протяжении всего эксперимента;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 v время в часах с начала отбора сока;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 v период полураспада радиоиттрия в часах (64 часов).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Данное уравнение состоит из слагаемых, отражающих прохождение двух разновекторных процессов. Первый член соответствует радиоактивному распаду ?избыточно¦ поступившего в сок (по отношению к материнскому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Sr) дочернего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Y, второй v накоплению радиоиттрия, вызванного распадом материнского радиоизотопа.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Нетрудно заметить, что при времени t значительно меньшем за период полураспада материнского радионуклида этот случай подвижного равновесия можно рассматривать как вековое равновесие. Необходимыми условиями при этом является соблюдение отношений постоянных распада </w:t>
      </w:r>
      <w:r w:rsidR="002023DB">
        <w:rPr>
          <w:color w:val="000000"/>
          <w:sz w:val="24"/>
          <w:szCs w:val="24"/>
        </w:rPr>
        <w:pict>
          <v:shape id="_x0000_i1036" type="#_x0000_t75" style="width:11.25pt;height:14.25pt">
            <v:imagedata r:id="rId11" o:title="f6"/>
          </v:shape>
        </w:pict>
      </w:r>
      <w:r>
        <w:rPr>
          <w:color w:val="000000"/>
          <w:sz w:val="24"/>
          <w:szCs w:val="24"/>
          <w:vertAlign w:val="subscript"/>
        </w:rPr>
        <w:t>мат</w:t>
      </w:r>
      <w:r>
        <w:rPr>
          <w:color w:val="000000"/>
          <w:sz w:val="24"/>
          <w:szCs w:val="24"/>
        </w:rPr>
        <w:t xml:space="preserve"> &lt;&lt;</w:t>
      </w:r>
      <w:r w:rsidR="002023DB">
        <w:rPr>
          <w:color w:val="000000"/>
          <w:sz w:val="24"/>
          <w:szCs w:val="24"/>
        </w:rPr>
        <w:pict>
          <v:shape id="_x0000_i1037" type="#_x0000_t75" style="width:11.25pt;height:14.25pt">
            <v:imagedata r:id="rId11" o:title="f6"/>
          </v:shape>
        </w:pict>
      </w:r>
      <w:r>
        <w:rPr>
          <w:color w:val="000000"/>
          <w:sz w:val="24"/>
          <w:szCs w:val="24"/>
        </w:rPr>
        <w:t xml:space="preserve">l </w:t>
      </w:r>
      <w:r>
        <w:rPr>
          <w:color w:val="000000"/>
          <w:sz w:val="24"/>
          <w:szCs w:val="24"/>
          <w:vertAlign w:val="subscript"/>
        </w:rPr>
        <w:t>доч.</w:t>
      </w:r>
      <w:r>
        <w:rPr>
          <w:color w:val="000000"/>
          <w:sz w:val="24"/>
          <w:szCs w:val="24"/>
        </w:rPr>
        <w:t xml:space="preserve"> и неизменности в течение времени эксперимента, равного многим периодам полураспада дочернего радионуклида, активности материнского. Важным допущением, также, является равенство коэффициентов счетности материнского и дочернего радионуклидов.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рис. 1 приведена графическая интерпретация расчета динамики активности радиоиттрия в смеси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Y+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при отношении их активностей как 50:10.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Суммарная активность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(линия 4) изменяется, как уже говорилось выше, за счет прохождения двух разнонаправленных процессов. С одной стороны, избыточно поступившая в сок (по отношению к материнскому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Sr) доля радиоиттрия претерпевает радиоактивный распад, что отмечено линией 1. Но с другой стороны, идет накопление дочернего радионуклида в соке за счет распада материнской фракции (линия 3). Суммирование этих двух разновекторных процессов, в итоге, приводят к более медленному изменению суммарной активности, отраженному линией 4. При этом нетрудно заметить, что динамика активности будет зависеть от начального соотношения активностей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Y/</w:t>
      </w:r>
      <w:r>
        <w:rPr>
          <w:color w:val="000000"/>
          <w:sz w:val="24"/>
          <w:szCs w:val="24"/>
          <w:vertAlign w:val="superscript"/>
        </w:rPr>
        <w:t xml:space="preserve"> 90</w:t>
      </w:r>
      <w:r>
        <w:rPr>
          <w:color w:val="000000"/>
          <w:sz w:val="24"/>
          <w:szCs w:val="24"/>
        </w:rPr>
        <w:t>Sr в отобранной пробе v чем оно выше, тем более резкими будут изменения. Важность оценки этого соотношения активностей в момент отбора сока состоит в том, что оно отражает фактические концентрации радионуклидов в растении.</w:t>
      </w:r>
    </w:p>
    <w:p w:rsidR="00947B8E" w:rsidRDefault="002023D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pict>
          <v:shape id="_x0000_i1038" type="#_x0000_t75" alt=" Графическая интерпретация расчетной активности смеси изотопов" href="http://www.laboratory.ru/articl/biol/rab023.htm" style="width:225pt;height:155.25pt" o:button="t">
            <v:imagedata r:id="rId12" o:title=""/>
          </v:shape>
        </w:pic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Рис.1. Графическая интерпретация расчетной активности смеси изотопов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Параметры для уравнения 1 несложно определить из табл.1 исходя из условия предполагаемого радиоактивного равновесия в пробе [7]. Так, Ac</w:t>
      </w:r>
      <w:r>
        <w:rPr>
          <w:color w:val="000000"/>
          <w:sz w:val="24"/>
          <w:szCs w:val="24"/>
          <w:vertAlign w:val="subscript"/>
        </w:rPr>
        <w:t>t</w:t>
      </w:r>
      <w:r>
        <w:rPr>
          <w:color w:val="000000"/>
          <w:sz w:val="24"/>
          <w:szCs w:val="24"/>
          <w:vertAlign w:val="superscript"/>
        </w:rPr>
        <w:t xml:space="preserve">Y </w:t>
      </w:r>
      <w:r>
        <w:rPr>
          <w:color w:val="000000"/>
          <w:sz w:val="24"/>
          <w:szCs w:val="24"/>
        </w:rPr>
        <w:t>=Ac</w:t>
      </w:r>
      <w:r>
        <w:rPr>
          <w:color w:val="000000"/>
          <w:sz w:val="24"/>
          <w:szCs w:val="24"/>
          <w:vertAlign w:val="subscript"/>
        </w:rPr>
        <w:t>t</w:t>
      </w:r>
      <w:r>
        <w:rPr>
          <w:color w:val="000000"/>
          <w:sz w:val="24"/>
          <w:szCs w:val="24"/>
        </w:rPr>
        <w:t xml:space="preserve"> /2 может быть вычислена из табл. 1 для любого момента измерения t. В нашем случае, для деревьев в кв.340, она снижается от 100-140 Бк/л при t=10 часов до 20-30 Бк/л при t=250-710 часов. Ac</w:t>
      </w:r>
      <w:r>
        <w:rPr>
          <w:color w:val="000000"/>
          <w:sz w:val="24"/>
          <w:szCs w:val="24"/>
          <w:vertAlign w:val="subscript"/>
        </w:rPr>
        <w:t>0</w:t>
      </w:r>
      <w:r>
        <w:rPr>
          <w:color w:val="000000"/>
          <w:sz w:val="24"/>
          <w:szCs w:val="24"/>
          <w:vertAlign w:val="superscript"/>
        </w:rPr>
        <w:t>Sr</w:t>
      </w:r>
      <w:r>
        <w:rPr>
          <w:color w:val="000000"/>
          <w:sz w:val="24"/>
          <w:szCs w:val="24"/>
        </w:rPr>
        <w:t xml:space="preserve"> также равна Ac</w:t>
      </w:r>
      <w:r>
        <w:rPr>
          <w:color w:val="000000"/>
          <w:sz w:val="24"/>
          <w:szCs w:val="24"/>
          <w:vertAlign w:val="subscript"/>
        </w:rPr>
        <w:t>t</w:t>
      </w:r>
      <w:r>
        <w:rPr>
          <w:color w:val="000000"/>
          <w:sz w:val="24"/>
          <w:szCs w:val="24"/>
        </w:rPr>
        <w:t xml:space="preserve"> /2, однако, эта величина может быть корректно определена при фактически установившемся радиоактивном равновесии между радиостронцием и радиоиттрием, т.е., как минимум, по истечении 250-300 часов после отбора пробы. Для деревьев в кв. 340 она будет находится на уровне 20-30 Бк/л. В целом же, учитывая большой период полураспада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Sr можно принять Ac</w:t>
      </w:r>
      <w:r>
        <w:rPr>
          <w:color w:val="000000"/>
          <w:sz w:val="24"/>
          <w:szCs w:val="24"/>
          <w:vertAlign w:val="subscript"/>
        </w:rPr>
        <w:t>0</w:t>
      </w:r>
      <w:r>
        <w:rPr>
          <w:color w:val="000000"/>
          <w:sz w:val="24"/>
          <w:szCs w:val="24"/>
          <w:vertAlign w:val="superscript"/>
        </w:rPr>
        <w:t>Sr</w:t>
      </w:r>
      <w:r>
        <w:rPr>
          <w:color w:val="000000"/>
          <w:sz w:val="24"/>
          <w:szCs w:val="24"/>
        </w:rPr>
        <w:t xml:space="preserve">=const в течение всего времени эксперимента. Таким образом, с помощью представленных величин и данных табл. 1 по уравнению (1) была рассчитана начальная объемная </w:t>
      </w:r>
      <w:r w:rsidR="002023DB">
        <w:rPr>
          <w:color w:val="000000"/>
          <w:sz w:val="24"/>
          <w:szCs w:val="24"/>
        </w:rPr>
        <w:pict>
          <v:shape id="_x0000_i1039" type="#_x0000_t75" alt="f.gif (79 bytes)" style="width:12pt;height:15.75pt">
            <v:imagedata r:id="rId7" o:title=""/>
          </v:shape>
        </w:pict>
      </w:r>
      <w:r>
        <w:rPr>
          <w:color w:val="000000"/>
          <w:sz w:val="24"/>
          <w:szCs w:val="24"/>
        </w:rPr>
        <w:t>-активность радиоиттрия Ac</w:t>
      </w:r>
      <w:r>
        <w:rPr>
          <w:color w:val="000000"/>
          <w:sz w:val="24"/>
          <w:szCs w:val="24"/>
          <w:vertAlign w:val="subscript"/>
        </w:rPr>
        <w:t>0</w:t>
      </w:r>
      <w:r>
        <w:rPr>
          <w:color w:val="000000"/>
          <w:sz w:val="24"/>
          <w:szCs w:val="24"/>
          <w:vertAlign w:val="superscript"/>
        </w:rPr>
        <w:t>Y</w:t>
      </w:r>
      <w:r>
        <w:rPr>
          <w:color w:val="000000"/>
          <w:sz w:val="24"/>
          <w:szCs w:val="24"/>
        </w:rPr>
        <w:t xml:space="preserve">, соответствующую его содержанию на момент отбора сока t=0 (табл.2).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Начальная объемная активность радионуклидов в березовом соке, Бк/л</w:t>
      </w:r>
    </w:p>
    <w:tbl>
      <w:tblPr>
        <w:tblW w:w="732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2404"/>
        <w:gridCol w:w="1097"/>
        <w:gridCol w:w="953"/>
        <w:gridCol w:w="953"/>
        <w:gridCol w:w="953"/>
        <w:gridCol w:w="960"/>
      </w:tblGrid>
      <w:tr w:rsidR="00947B8E" w:rsidRPr="00947B8E">
        <w:trPr>
          <w:cantSplit/>
          <w:trHeight w:val="240"/>
          <w:tblCellSpacing w:w="7" w:type="dxa"/>
          <w:jc w:val="center"/>
        </w:trPr>
        <w:tc>
          <w:tcPr>
            <w:tcW w:w="1650" w:type="pct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33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Номера модельных деревьев</w:t>
            </w:r>
          </w:p>
        </w:tc>
      </w:tr>
      <w:tr w:rsidR="00947B8E" w:rsidRPr="00947B8E">
        <w:trPr>
          <w:cantSplit/>
          <w:trHeight w:val="240"/>
          <w:tblCellSpacing w:w="7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  <w:vAlign w:val="center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¦1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¦2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¦3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¦4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¦5</w:t>
            </w:r>
          </w:p>
        </w:tc>
      </w:tr>
      <w:tr w:rsidR="00947B8E" w:rsidRPr="00947B8E">
        <w:trPr>
          <w:trHeight w:val="240"/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Ac</w:t>
            </w:r>
            <w:r w:rsidRPr="00947B8E">
              <w:rPr>
                <w:color w:val="000000"/>
                <w:sz w:val="24"/>
                <w:szCs w:val="24"/>
                <w:vertAlign w:val="subscript"/>
                <w:lang w:val="en-US"/>
              </w:rPr>
              <w:t>0</w:t>
            </w:r>
            <w:r w:rsidRPr="00947B8E">
              <w:rPr>
                <w:color w:val="000000"/>
                <w:sz w:val="24"/>
                <w:szCs w:val="24"/>
                <w:vertAlign w:val="superscript"/>
                <w:lang w:val="en-US"/>
              </w:rPr>
              <w:t>Y</w:t>
            </w:r>
            <w:r w:rsidRPr="00947B8E">
              <w:rPr>
                <w:color w:val="000000"/>
                <w:sz w:val="24"/>
                <w:szCs w:val="24"/>
                <w:lang w:val="en-US"/>
              </w:rPr>
              <w:t xml:space="preserve">, </w:t>
            </w:r>
            <w:r w:rsidRPr="00947B8E">
              <w:rPr>
                <w:color w:val="000000"/>
                <w:sz w:val="24"/>
                <w:szCs w:val="24"/>
              </w:rPr>
              <w:t>Бк</w:t>
            </w:r>
            <w:r w:rsidRPr="00947B8E">
              <w:rPr>
                <w:color w:val="000000"/>
                <w:sz w:val="24"/>
                <w:szCs w:val="24"/>
                <w:lang w:val="en-US"/>
              </w:rPr>
              <w:t>/</w:t>
            </w:r>
            <w:r w:rsidRPr="00947B8E">
              <w:rPr>
                <w:color w:val="000000"/>
                <w:sz w:val="24"/>
                <w:szCs w:val="24"/>
              </w:rPr>
              <w:t>л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143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119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128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120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114</w:t>
            </w:r>
          </w:p>
        </w:tc>
      </w:tr>
      <w:tr w:rsidR="00947B8E" w:rsidRPr="00947B8E">
        <w:trPr>
          <w:trHeight w:val="240"/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  <w:lang w:val="en-US"/>
              </w:rPr>
            </w:pPr>
            <w:r w:rsidRPr="00947B8E">
              <w:rPr>
                <w:color w:val="000000"/>
                <w:sz w:val="24"/>
                <w:szCs w:val="24"/>
                <w:lang w:val="en-US"/>
              </w:rPr>
              <w:t>Ac</w:t>
            </w:r>
            <w:r w:rsidRPr="00947B8E">
              <w:rPr>
                <w:color w:val="000000"/>
                <w:sz w:val="24"/>
                <w:szCs w:val="24"/>
                <w:vertAlign w:val="subscript"/>
                <w:lang w:val="en-US"/>
              </w:rPr>
              <w:t>0</w:t>
            </w:r>
            <w:r w:rsidRPr="00947B8E">
              <w:rPr>
                <w:color w:val="000000"/>
                <w:sz w:val="24"/>
                <w:szCs w:val="24"/>
                <w:vertAlign w:val="superscript"/>
                <w:lang w:val="en-US"/>
              </w:rPr>
              <w:t>Sr</w:t>
            </w:r>
            <w:r w:rsidRPr="00947B8E">
              <w:rPr>
                <w:color w:val="000000"/>
                <w:sz w:val="24"/>
                <w:szCs w:val="24"/>
                <w:lang w:val="en-US"/>
              </w:rPr>
              <w:t xml:space="preserve">, </w:t>
            </w:r>
            <w:r w:rsidRPr="00947B8E">
              <w:rPr>
                <w:color w:val="000000"/>
                <w:sz w:val="24"/>
                <w:szCs w:val="24"/>
              </w:rPr>
              <w:t>Бк</w:t>
            </w:r>
            <w:r w:rsidRPr="00947B8E">
              <w:rPr>
                <w:color w:val="000000"/>
                <w:sz w:val="24"/>
                <w:szCs w:val="24"/>
                <w:lang w:val="en-US"/>
              </w:rPr>
              <w:t>/</w:t>
            </w:r>
            <w:r w:rsidRPr="00947B8E">
              <w:rPr>
                <w:color w:val="000000"/>
                <w:sz w:val="24"/>
                <w:szCs w:val="24"/>
              </w:rPr>
              <w:t>л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24</w:t>
            </w:r>
          </w:p>
        </w:tc>
      </w:tr>
      <w:tr w:rsidR="00947B8E" w:rsidRPr="00947B8E">
        <w:trPr>
          <w:trHeight w:val="240"/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Отношение Ac</w:t>
            </w:r>
            <w:r w:rsidRPr="00947B8E">
              <w:rPr>
                <w:color w:val="000000"/>
                <w:sz w:val="24"/>
                <w:szCs w:val="24"/>
                <w:vertAlign w:val="subscript"/>
              </w:rPr>
              <w:t>0</w:t>
            </w:r>
            <w:r w:rsidRPr="00947B8E">
              <w:rPr>
                <w:color w:val="000000"/>
                <w:sz w:val="24"/>
                <w:szCs w:val="24"/>
                <w:vertAlign w:val="superscript"/>
              </w:rPr>
              <w:t>Y</w:t>
            </w:r>
            <w:r w:rsidRPr="00947B8E">
              <w:rPr>
                <w:color w:val="000000"/>
                <w:sz w:val="24"/>
                <w:szCs w:val="24"/>
              </w:rPr>
              <w:t xml:space="preserve"> / Ac</w:t>
            </w:r>
            <w:r w:rsidRPr="00947B8E">
              <w:rPr>
                <w:color w:val="000000"/>
                <w:sz w:val="24"/>
                <w:szCs w:val="24"/>
                <w:vertAlign w:val="subscript"/>
              </w:rPr>
              <w:t>0</w:t>
            </w:r>
            <w:r w:rsidRPr="00947B8E">
              <w:rPr>
                <w:color w:val="000000"/>
                <w:sz w:val="24"/>
                <w:szCs w:val="24"/>
                <w:vertAlign w:val="superscript"/>
              </w:rPr>
              <w:t>Sr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4,77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4,96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4,74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4,62</w:t>
            </w:r>
          </w:p>
        </w:tc>
        <w:tc>
          <w:tcPr>
            <w:tcW w:w="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C8"/>
          </w:tcPr>
          <w:p w:rsidR="00947B8E" w:rsidRPr="00947B8E" w:rsidRDefault="00947B8E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947B8E">
              <w:rPr>
                <w:color w:val="000000"/>
                <w:sz w:val="24"/>
                <w:szCs w:val="24"/>
              </w:rPr>
              <w:t>4,75</w:t>
            </w:r>
          </w:p>
        </w:tc>
      </w:tr>
    </w:tbl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 того, как были определены все неизвестные величины в уравнении 1, Ac</w:t>
      </w:r>
      <w:r>
        <w:rPr>
          <w:color w:val="000000"/>
          <w:sz w:val="24"/>
          <w:szCs w:val="24"/>
          <w:vertAlign w:val="subscript"/>
        </w:rPr>
        <w:t>t</w:t>
      </w:r>
      <w:r>
        <w:rPr>
          <w:color w:val="000000"/>
          <w:sz w:val="24"/>
          <w:szCs w:val="24"/>
          <w:vertAlign w:val="superscript"/>
        </w:rPr>
        <w:t xml:space="preserve">Y </w:t>
      </w:r>
      <w:r>
        <w:rPr>
          <w:color w:val="000000"/>
          <w:sz w:val="24"/>
          <w:szCs w:val="24"/>
        </w:rPr>
        <w:t xml:space="preserve">была рассчитана теоретически для произвольного момента времени t. На рис. 2 приведено среднее значение, нормированных объемных активностей на момент первого измерения (примерно 10 часов после отбора).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 высокой адекватность теоретических данных фактическим результатам свидетельствуют высокие значения корреляционных отношений между ними </w:t>
      </w:r>
      <w:r w:rsidR="002023DB">
        <w:rPr>
          <w:color w:val="000000"/>
          <w:sz w:val="24"/>
          <w:szCs w:val="24"/>
        </w:rPr>
        <w:pict>
          <v:shape id="_x0000_i1040" type="#_x0000_t75" alt="f7.gif (70 bytes)" style="width:9.75pt;height:12.75pt">
            <v:imagedata r:id="rId13" o:title=""/>
          </v:shape>
        </w:pict>
      </w:r>
      <w:r>
        <w:rPr>
          <w:color w:val="000000"/>
          <w:sz w:val="24"/>
          <w:szCs w:val="24"/>
        </w:rPr>
        <w:t xml:space="preserve">=0,964-0,982 при нулевом уровне значимости, относительной ошибки аппроксимации v 8-9%, а критерия соответствия </w:t>
      </w:r>
      <w:r w:rsidR="002023DB">
        <w:rPr>
          <w:color w:val="000000"/>
          <w:sz w:val="24"/>
          <w:szCs w:val="24"/>
        </w:rPr>
        <w:pict>
          <v:shape id="_x0000_i1041" type="#_x0000_t75" alt="f8.gif (87 bytes)" style="width:17.25pt;height:18pt">
            <v:imagedata r:id="rId14" o:title=""/>
          </v:shape>
        </w:pict>
      </w:r>
      <w:r>
        <w:rPr>
          <w:color w:val="000000"/>
          <w:sz w:val="24"/>
          <w:szCs w:val="24"/>
        </w:rPr>
        <w:t xml:space="preserve">= 4,74-9,48 при </w:t>
      </w:r>
      <w:r w:rsidR="002023DB">
        <w:rPr>
          <w:color w:val="000000"/>
          <w:sz w:val="24"/>
          <w:szCs w:val="24"/>
        </w:rPr>
        <w:pict>
          <v:shape id="_x0000_i1042" type="#_x0000_t75" alt="f8.gif (87 bytes)" style="width:17.25pt;height:18pt">
            <v:imagedata r:id="rId14" o:title=""/>
          </v:shape>
        </w:pict>
      </w:r>
      <w:r>
        <w:rPr>
          <w:color w:val="000000"/>
          <w:sz w:val="24"/>
          <w:szCs w:val="24"/>
          <w:vertAlign w:val="subscript"/>
        </w:rPr>
        <w:t>табл</w:t>
      </w:r>
      <w:r>
        <w:rPr>
          <w:color w:val="000000"/>
          <w:sz w:val="24"/>
          <w:szCs w:val="24"/>
        </w:rPr>
        <w:t>=23,685.</w:t>
      </w:r>
      <w:r>
        <w:rPr>
          <w:color w:val="000000"/>
          <w:sz w:val="24"/>
          <w:szCs w:val="24"/>
          <w:vertAlign w:val="superscript"/>
        </w:rPr>
        <w:t xml:space="preserve">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2023DB">
        <w:rPr>
          <w:color w:val="000000"/>
          <w:sz w:val="24"/>
          <w:szCs w:val="24"/>
        </w:rPr>
        <w:pict>
          <v:shape id="_x0000_i1043" type="#_x0000_t75" alt="Динамика объемной  бета-активности иттрия 90 в березовом соке в относительных единицах по всем модельным деревьям" href="http://www.laboratory.ru/articl/biol/rab024.htm" style="width:225pt;height:159pt" o:button="t">
            <v:imagedata r:id="rId15" o:title=""/>
          </v:shape>
        </w:pic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Рис. 2. Динамика объемной </w:t>
      </w:r>
      <w:r w:rsidR="002023DB">
        <w:rPr>
          <w:color w:val="000000"/>
          <w:sz w:val="24"/>
          <w:szCs w:val="24"/>
        </w:rPr>
        <w:pict>
          <v:shape id="_x0000_i1044" type="#_x0000_t75" alt="f.gif (79 bytes)" style="width:12pt;height:15.75pt">
            <v:imagedata r:id="rId7" o:title=""/>
          </v:shape>
        </w:pict>
      </w:r>
      <w:r>
        <w:rPr>
          <w:color w:val="000000"/>
          <w:sz w:val="24"/>
          <w:szCs w:val="24"/>
        </w:rPr>
        <w:t xml:space="preserve"> -активности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Y в березовом соке в относительных единицах по всем модельным деревьям</w:t>
      </w:r>
      <w:r>
        <w:rPr>
          <w:color w:val="000000"/>
          <w:sz w:val="24"/>
          <w:szCs w:val="24"/>
        </w:rPr>
        <w:tab/>
        <w:t xml:space="preserve"> </w:t>
      </w:r>
    </w:p>
    <w:p w:rsidR="00947B8E" w:rsidRDefault="00947B8E">
      <w:pPr>
        <w:widowControl w:val="0"/>
        <w:tabs>
          <w:tab w:val="left" w:pos="4605"/>
          <w:tab w:val="left" w:pos="9743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Таким образом, установленное нами отношение Ac</w:t>
      </w:r>
      <w:r>
        <w:rPr>
          <w:color w:val="000000"/>
          <w:sz w:val="24"/>
          <w:szCs w:val="24"/>
          <w:vertAlign w:val="subscript"/>
        </w:rPr>
        <w:t>0</w:t>
      </w:r>
      <w:r>
        <w:rPr>
          <w:color w:val="000000"/>
          <w:sz w:val="24"/>
          <w:szCs w:val="24"/>
          <w:vertAlign w:val="superscript"/>
        </w:rPr>
        <w:t>Y</w:t>
      </w:r>
      <w:r>
        <w:rPr>
          <w:color w:val="000000"/>
          <w:sz w:val="24"/>
          <w:szCs w:val="24"/>
        </w:rPr>
        <w:t xml:space="preserve"> / Ac</w:t>
      </w:r>
      <w:r>
        <w:rPr>
          <w:color w:val="000000"/>
          <w:sz w:val="24"/>
          <w:szCs w:val="24"/>
          <w:vertAlign w:val="subscript"/>
        </w:rPr>
        <w:t>0</w:t>
      </w:r>
      <w:r>
        <w:rPr>
          <w:color w:val="000000"/>
          <w:sz w:val="24"/>
          <w:szCs w:val="24"/>
          <w:vertAlign w:val="superscript"/>
        </w:rPr>
        <w:t>Sr</w:t>
      </w:r>
      <w:r>
        <w:rPr>
          <w:color w:val="000000"/>
          <w:sz w:val="24"/>
          <w:szCs w:val="24"/>
        </w:rPr>
        <w:t xml:space="preserve">=4,6-4,9 позволяет однозначно утверждать о превышение поступления радиоиттрия в березу по сравнению с материнским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Sr, традиционно считающимся высокомобильным в системе почва-растение. Если же рассматривать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>Y как радиоактивную метку стабильного иттрия, то становится очевидным, что потоки последнего в экосистеме березового леса могут быть достаточно интенсивными. Вероятно, подобное явление может быть связано со способностью иттрия к комплексообразованию с различными органическими веществами, обладающими высокой растворимостью и подвижностью. Кроме того, ионный радиус данного элемента ниже, чем у стронция, с чем также может быть связано несколько большее поступление в растения. Пока сложно говорить и переносимости полученных результатов на другие древесные растения, в дальнейшем планируется продолжить исследования по этой теме.</w:t>
      </w:r>
    </w:p>
    <w:p w:rsidR="00947B8E" w:rsidRDefault="00947B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Выводы: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Измерение концентрации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 методами </w:t>
      </w:r>
      <w:r w:rsidR="002023DB">
        <w:rPr>
          <w:color w:val="000000"/>
          <w:sz w:val="24"/>
          <w:szCs w:val="24"/>
        </w:rPr>
        <w:pict>
          <v:shape id="_x0000_i1045" type="#_x0000_t75" alt="f.gif (79 bytes)" style="width:12pt;height:15.75pt">
            <v:imagedata r:id="rId7" o:title=""/>
          </v:shape>
        </w:pict>
      </w:r>
      <w:r>
        <w:rPr>
          <w:color w:val="000000"/>
          <w:sz w:val="24"/>
          <w:szCs w:val="24"/>
        </w:rPr>
        <w:t xml:space="preserve">-радиометрии по излучению дочернего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в биологических объектах следует проводить только при условии установления радиоактивного равновесия между этими генетически связанными радионуклидами по истечению 200-250 часов с момента отбора пробы.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Поступление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Y в березовый сок происходит в 4,6-4,9 ( в среднем в 4,75) раза более интенсивно, чем, </w:t>
      </w:r>
      <w:r>
        <w:rPr>
          <w:color w:val="000000"/>
          <w:sz w:val="24"/>
          <w:szCs w:val="24"/>
          <w:vertAlign w:val="superscript"/>
        </w:rPr>
        <w:t>90</w:t>
      </w:r>
      <w:r>
        <w:rPr>
          <w:color w:val="000000"/>
          <w:sz w:val="24"/>
          <w:szCs w:val="24"/>
        </w:rPr>
        <w:t xml:space="preserve">Sr. Это позволяет говорить о более высокой биологической активности в экосистеме березового леса радиоиттрия. </w:t>
      </w:r>
    </w:p>
    <w:p w:rsidR="00947B8E" w:rsidRDefault="00947B8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Орлов И.И., Рябчук В.П. Березовый сок. // М.: Лесная промышленность. - 1982. - 55 с. 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Рябчук В.П. Соки лиственных деревьев (Получение и использование). // Львов: Вища школа, 1988. - 150 с.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 xml:space="preserve">3. Leaf A.L. Watterston K.C. Chemical analysis of sugar maple sap and foliage as related to sap and sugar yields // Foresn Science. </w:t>
      </w:r>
      <w:r>
        <w:rPr>
          <w:color w:val="000000"/>
          <w:sz w:val="24"/>
          <w:szCs w:val="24"/>
        </w:rPr>
        <w:t>1964. Vol.10 ¦3. - P.228-292.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Кучма Н.Д., Архипов Н.П., Федотов И.С. и др. Радиоэкологические и лесоводственные последствия загрязнения лесных экосистем зоны отчуждения // Чернобыль., 1994. - 53 с.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Мухамедшин К.Д., Чилимов А.И., Мишуков Н.П. и др. Лесное хозяйство в условиях радиации. - М.:ВНИИХлксхоз. - 1995. - 53 с.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6. Лес, Человек, Чернобыль. Лесные экосистемы после аварии на Чернобыльской АЭС: состояние, прогноз, реакция населения, пути реабилитации.// Под общ. ред Ипатьева В.А. - Гм. 1999. - 454 с .</w:t>
      </w:r>
    </w:p>
    <w:p w:rsidR="00947B8E" w:rsidRDefault="00947B8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7. Методика выполнения измерений содержания радионуклидов стронция-90 и цезия-137 в продуктах питания, питьевой воде, почве, сельскохозяйственном сыре и кормах, продукции лесного хозяйства и других объектах окружающей среды на бета-гамма-радиометре МКС-1311 (El-1311) МВИ МН 977-99. v НПП ?Атомтех¦, утверждена 20.03.99 г. v Мн. 1999. v 36 с.</w:t>
      </w:r>
      <w:bookmarkStart w:id="0" w:name="_GoBack"/>
      <w:bookmarkEnd w:id="0"/>
    </w:p>
    <w:sectPr w:rsidR="00947B8E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21473E"/>
    <w:multiLevelType w:val="hybridMultilevel"/>
    <w:tmpl w:val="C8C49C80"/>
    <w:lvl w:ilvl="0" w:tplc="47E0AE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4F4976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564F57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3E631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D42E4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10438A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610767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3881A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60DE2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7F6642"/>
    <w:multiLevelType w:val="hybridMultilevel"/>
    <w:tmpl w:val="6EF8791E"/>
    <w:lvl w:ilvl="0" w:tplc="08AE3D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A6CE0C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884594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BDCDAD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AF0BB2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6D230B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400F90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6A04BD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6164D0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56A6E"/>
    <w:rsid w:val="002023DB"/>
    <w:rsid w:val="006632A2"/>
    <w:rsid w:val="00756A6E"/>
    <w:rsid w:val="00947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7"/>
    <o:shapelayout v:ext="edit">
      <o:idmap v:ext="edit" data="1"/>
    </o:shapelayout>
  </w:shapeDefaults>
  <w:decimalSymbol w:val=","/>
  <w:listSeparator w:val=";"/>
  <w14:defaultImageDpi w14:val="0"/>
  <w15:chartTrackingRefBased/>
  <w15:docId w15:val="{49ADE2A0-5223-4EF2-8A55-8B8D5248E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800080"/>
      <w:u w:val="single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6">
    <w:name w:val="Emphasis"/>
    <w:uiPriority w:val="99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2114</Words>
  <Characters>12051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Некоторые аспекты накопления 90Sr и 90Y в березовом соке</vt:lpstr>
    </vt:vector>
  </TitlesOfParts>
  <Company>PERSONAL COMPUTERS</Company>
  <LinksUpToDate>false</LinksUpToDate>
  <CharactersWithSpaces>14137</CharactersWithSpaces>
  <SharedDoc>false</SharedDoc>
  <HLinks>
    <vt:vector size="12" baseType="variant">
      <vt:variant>
        <vt:i4>3014699</vt:i4>
      </vt:variant>
      <vt:variant>
        <vt:i4>23480</vt:i4>
      </vt:variant>
      <vt:variant>
        <vt:i4>1038</vt:i4>
      </vt:variant>
      <vt:variant>
        <vt:i4>4</vt:i4>
      </vt:variant>
      <vt:variant>
        <vt:lpwstr>http://www.laboratory.ru/articl/biol/rab023.htm</vt:lpwstr>
      </vt:variant>
      <vt:variant>
        <vt:lpwstr/>
      </vt:variant>
      <vt:variant>
        <vt:i4>3014700</vt:i4>
      </vt:variant>
      <vt:variant>
        <vt:i4>27160</vt:i4>
      </vt:variant>
      <vt:variant>
        <vt:i4>1043</vt:i4>
      </vt:variant>
      <vt:variant>
        <vt:i4>4</vt:i4>
      </vt:variant>
      <vt:variant>
        <vt:lpwstr>http://www.laboratory.ru/articl/biol/rab024.htm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Некоторые аспекты накопления 90Sr и 90Y в березовом соке</dc:title>
  <dc:subject/>
  <dc:creator>USER</dc:creator>
  <cp:keywords/>
  <dc:description/>
  <cp:lastModifiedBy>admin</cp:lastModifiedBy>
  <cp:revision>2</cp:revision>
  <dcterms:created xsi:type="dcterms:W3CDTF">2014-02-19T09:08:00Z</dcterms:created>
  <dcterms:modified xsi:type="dcterms:W3CDTF">2014-02-19T09:08:00Z</dcterms:modified>
</cp:coreProperties>
</file>