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2A" w:rsidRDefault="00D738C9">
      <w:pPr>
        <w:pStyle w:val="1"/>
        <w:jc w:val="center"/>
      </w:pPr>
      <w:r>
        <w:t>Некоторые методы лечения переломов длинных трубчатых костей</w:t>
      </w:r>
    </w:p>
    <w:p w:rsidR="003F0B2A" w:rsidRPr="00D738C9" w:rsidRDefault="00D738C9">
      <w:pPr>
        <w:pStyle w:val="a3"/>
        <w:divId w:val="754014980"/>
      </w:pPr>
      <w:r>
        <w:rPr>
          <w:u w:val="single"/>
        </w:rPr>
        <w:t> </w:t>
      </w:r>
    </w:p>
    <w:p w:rsidR="003F0B2A" w:rsidRDefault="00D738C9">
      <w:pPr>
        <w:pStyle w:val="a3"/>
        <w:divId w:val="754014980"/>
      </w:pPr>
      <w:r>
        <w:rPr>
          <w:u w:val="single"/>
        </w:rPr>
        <w:t>План:</w:t>
      </w:r>
    </w:p>
    <w:p w:rsidR="003F0B2A" w:rsidRDefault="00D738C9">
      <w:pPr>
        <w:pStyle w:val="a3"/>
        <w:divId w:val="754014980"/>
      </w:pPr>
      <w:r>
        <w:rPr>
          <w:u w:val="single"/>
        </w:rPr>
        <w:t> </w:t>
      </w:r>
    </w:p>
    <w:p w:rsidR="003F0B2A" w:rsidRDefault="00D738C9">
      <w:pPr>
        <w:pStyle w:val="a3"/>
        <w:divId w:val="754014980"/>
      </w:pPr>
      <w:r>
        <w:t>1.   Экстракорпоральная ударно-волновая терапия (ЭУВТ) в лечении переломов.</w:t>
      </w:r>
    </w:p>
    <w:p w:rsidR="003F0B2A" w:rsidRDefault="00D738C9">
      <w:pPr>
        <w:pStyle w:val="a3"/>
        <w:divId w:val="754014980"/>
      </w:pPr>
      <w:r>
        <w:t>2.   Экстракорпоральное ультрафиолетовое облучение аутокрови в комплексном лечении больных с переломами длинных трубчатых костей.</w:t>
      </w:r>
    </w:p>
    <w:p w:rsidR="003F0B2A" w:rsidRDefault="00D738C9">
      <w:pPr>
        <w:pStyle w:val="a3"/>
        <w:divId w:val="754014980"/>
      </w:pPr>
      <w:r>
        <w:t>3.   Оперативное лечение переломов кости в вертельной области у пациентов пожилого и старческого возраста динамическими бедренным и мыщелковым винтами.</w:t>
      </w:r>
    </w:p>
    <w:p w:rsidR="003F0B2A" w:rsidRDefault="00D738C9">
      <w:pPr>
        <w:pStyle w:val="a3"/>
        <w:divId w:val="754014980"/>
      </w:pPr>
      <w:r>
        <w:t>4.   Методика комплексного лечения аваскулярных форм несросшихся переломов и ложных суставов диафиза большеберцовой кости.</w:t>
      </w:r>
    </w:p>
    <w:p w:rsidR="003F0B2A" w:rsidRDefault="00D738C9">
      <w:pPr>
        <w:pStyle w:val="a3"/>
        <w:divId w:val="754014980"/>
      </w:pPr>
      <w:r>
        <w:t>5.   Методы остеосинтеза при реплантации конечностей и их сегментов.</w:t>
      </w:r>
    </w:p>
    <w:p w:rsidR="003F0B2A" w:rsidRDefault="003F0B2A">
      <w:pPr>
        <w:divId w:val="754014980"/>
      </w:pPr>
    </w:p>
    <w:p w:rsidR="003F0B2A" w:rsidRDefault="00D738C9">
      <w:pPr>
        <w:pStyle w:val="2"/>
        <w:divId w:val="754014980"/>
      </w:pPr>
      <w:r>
        <w:rPr>
          <w:u w:val="single"/>
        </w:rPr>
        <w:t>Применение экстракорпоральной ударно-волновой терапии (ЭУВТ)</w:t>
      </w:r>
      <w:r>
        <w:rPr>
          <w:u w:val="single"/>
        </w:rPr>
        <w:br/>
        <w:t> </w:t>
      </w:r>
    </w:p>
    <w:p w:rsidR="003F0B2A" w:rsidRPr="00D738C9" w:rsidRDefault="00D738C9">
      <w:pPr>
        <w:pStyle w:val="a3"/>
        <w:divId w:val="754014980"/>
      </w:pPr>
      <w:r>
        <w:t>Актуальность проблемы лечения и реабилитации больных с травмами и заболеваниями опорно-двигательного аппарата состоит в поиске новых методов противовоспалительной терапии и стимуляции репаративных процессов костной ткани, сокращение сроков лечения, профилактика развития дегенеративно-дистрофических процессов и функциональных нарушений после перелома костей. Это обусловлено возросшим числом несчастных случаев и массовых поражений в результате стихийных бедствий, промышленных аварий и катастроф, возникновением локальных военных конфликтов. Несмотря на использование современных методов лечения, переломы длинных трубчатых костей у 10-13% пострадавших осложняются развитием контрактур, анкилозированием суставов, тяжелыми вторичными посттравматическими артрозами. В 50% случаев они возникают после переломов в метаэпифизарной зоне, доля которых среди повреждений костно-мышечной системы составляет 25,7%. Стойкая утрата трудоспособности при данных видах повреждений наступает у 13,3-28,5% пострадавших, среди них в возрасте 21-40 лет - 77,0%.</w:t>
      </w:r>
    </w:p>
    <w:p w:rsidR="003F0B2A" w:rsidRDefault="00D738C9">
      <w:pPr>
        <w:pStyle w:val="a3"/>
        <w:divId w:val="754014980"/>
      </w:pPr>
      <w:r>
        <w:t>Замедленная консолидация и ложные суставы, как осложнение лечения перелома костей конечностей, встречаются в 0,5-2,7% случаях. После огнестрельных повреждений псевдоартрозы у 3,1% раненых, а с применением высокоскоростных снарядов их частота возрастает в 8 раз.</w:t>
      </w:r>
    </w:p>
    <w:p w:rsidR="003F0B2A" w:rsidRDefault="00D738C9">
      <w:pPr>
        <w:pStyle w:val="a3"/>
        <w:divId w:val="754014980"/>
      </w:pPr>
      <w:r>
        <w:t>Непосредственно после травмы и в процессе лечения наблюдаются стойкие нейровазомоторные расстройства, изменения в мышцах, связках и сухожилиях, которые приводят к длительной нетрудоспособности пострадавших, необходимости многократных госпитализаций.</w:t>
      </w:r>
    </w:p>
    <w:p w:rsidR="003F0B2A" w:rsidRDefault="00D738C9">
      <w:pPr>
        <w:pStyle w:val="a3"/>
        <w:divId w:val="754014980"/>
      </w:pPr>
      <w:r>
        <w:t>Хронические дегенеративно-дистрофические процессы в местах прикрепления сухожилий и капсульно-связочных структур к костям - широко распространенная патология, встречается среди взрослого населения в 63,4-85,2%. Роль механического фактора в их возникновении признана всеми и подтверждена следующими данными:</w:t>
      </w:r>
    </w:p>
    <w:p w:rsidR="003F0B2A" w:rsidRDefault="00D738C9">
      <w:pPr>
        <w:pStyle w:val="a3"/>
        <w:divId w:val="754014980"/>
      </w:pPr>
      <w:r>
        <w:t xml:space="preserve">1.    излюбленная локализация соответствует анатомическим образованиям, несущим наи-большую нагрузку (плечевой сустав и надмыщелки плечевой кости, надколенник, ахилло-во сухожилие и плантарный апоневроз); </w:t>
      </w:r>
    </w:p>
    <w:p w:rsidR="003F0B2A" w:rsidRDefault="00D738C9">
      <w:pPr>
        <w:pStyle w:val="a3"/>
        <w:divId w:val="754014980"/>
      </w:pPr>
      <w:r>
        <w:t>2.    нередко их развитие наступает после травмы у лиц физического труда и спортсменов, испытывающих по роду своей деятельности статодинамические нагрузки на определенные группы мышц, подвергающихся частым сотрясениям и совершающие однотипные движения в суставах конечностей.</w:t>
      </w:r>
    </w:p>
    <w:p w:rsidR="003F0B2A" w:rsidRDefault="00D738C9">
      <w:pPr>
        <w:pStyle w:val="a3"/>
        <w:divId w:val="754014980"/>
      </w:pPr>
      <w:r>
        <w:t>Многообразие этиологических предпосылок и клинических проявлений в значительной мере затрудняет выбор патогенетически обоснованной лечебной тактики. Терапевтические воздействия, такие как нестероидная противовоспалительная медикаментозная терапия, локальные инъекции кортикостероидов, различные физиотерапевтические методы, лазеротерапия, иглорефлексотерапия и т.д., далеко не всегда бывают эффективными.</w:t>
      </w:r>
    </w:p>
    <w:p w:rsidR="003F0B2A" w:rsidRDefault="00D738C9">
      <w:pPr>
        <w:pStyle w:val="a3"/>
        <w:divId w:val="754014980"/>
      </w:pPr>
      <w:r>
        <w:t>Оперативное лечение также довольно часто не дает желаемого результата и, кроме того, сопряжено с длительным периодом восстановления.</w:t>
      </w:r>
    </w:p>
    <w:p w:rsidR="003F0B2A" w:rsidRDefault="00D738C9">
      <w:pPr>
        <w:pStyle w:val="a3"/>
        <w:divId w:val="754014980"/>
      </w:pPr>
      <w:r>
        <w:t>Успешное решение задачи сокращения сроков лечения, уменьшение неблагоприятных последствий повреждения конечностей, может быть достигнуто внедрением новых способов, на-правленных на оптимизацию метаболических процессов в органах и тканях в раннем восстановительном периоде.</w:t>
      </w:r>
    </w:p>
    <w:p w:rsidR="003F0B2A" w:rsidRDefault="00D738C9">
      <w:pPr>
        <w:pStyle w:val="a3"/>
        <w:divId w:val="754014980"/>
      </w:pPr>
      <w:r>
        <w:t>Последнее время с этой целью стало использоваться ударно-волновая терапия. Стимулирующее воздействие ударно-волновых импульсов подтверждено в экспериментах на животных и по результатам клинических испытаний. По мере развития методики совершенствовались генераторы ударно-волновых импульсов, возможности создания и фокусировки волн.</w:t>
      </w:r>
    </w:p>
    <w:p w:rsidR="003F0B2A" w:rsidRDefault="00D738C9">
      <w:pPr>
        <w:pStyle w:val="a3"/>
        <w:divId w:val="754014980"/>
      </w:pPr>
      <w:r>
        <w:t xml:space="preserve">1.    1980 - электрогидравлические генераторы с эллипсоидным распространением волны; </w:t>
      </w:r>
    </w:p>
    <w:p w:rsidR="003F0B2A" w:rsidRDefault="00D738C9">
      <w:pPr>
        <w:pStyle w:val="a3"/>
        <w:divId w:val="754014980"/>
      </w:pPr>
      <w:r>
        <w:t xml:space="preserve">2.    1985 - пьезоэлектрический генератор с распространением волны в виде сферы; </w:t>
      </w:r>
    </w:p>
    <w:p w:rsidR="003F0B2A" w:rsidRDefault="00D738C9">
      <w:pPr>
        <w:pStyle w:val="a3"/>
        <w:divId w:val="754014980"/>
      </w:pPr>
      <w:r>
        <w:t xml:space="preserve">3.    1986 - электромагнитный генератор с акустической линзой; </w:t>
      </w:r>
    </w:p>
    <w:p w:rsidR="003F0B2A" w:rsidRDefault="00D738C9">
      <w:pPr>
        <w:pStyle w:val="a3"/>
        <w:divId w:val="754014980"/>
      </w:pPr>
      <w:r>
        <w:t>4.    1989 - электромагнитный цилиндрический источник волн с параболоидным распространением ударных волн.</w:t>
      </w:r>
    </w:p>
    <w:p w:rsidR="003F0B2A" w:rsidRDefault="00D738C9">
      <w:pPr>
        <w:pStyle w:val="a3"/>
        <w:divId w:val="754014980"/>
      </w:pPr>
      <w:r>
        <w:t>Аппаратура была громоздкой, дорогой и требовательной в эксплуатации, с необходимостью рентгеновского и УЗИ-наведения.</w:t>
      </w:r>
    </w:p>
    <w:p w:rsidR="003F0B2A" w:rsidRDefault="00D738C9">
      <w:pPr>
        <w:pStyle w:val="a3"/>
        <w:divId w:val="754014980"/>
      </w:pPr>
      <w:r>
        <w:t>Возможности установок, в которых фокусировка волн происходит в водной среде, как в акустической линзе, ограничены из-за сложности укладки над ванной, особенно при локализации па-тологии в области верхнего плечевого пояса. Проведение ЭУВТ пациентам в гипсовых повязках, аппаратах Илизарова, при наличии ран на коже конечностей невозможно из-за опасности повре-ждения мембраны процедурной ванны и необходимости погружения конечностей в водную среду.</w:t>
      </w:r>
    </w:p>
    <w:p w:rsidR="003F0B2A" w:rsidRDefault="00D738C9">
      <w:pPr>
        <w:pStyle w:val="a3"/>
        <w:divId w:val="754014980"/>
      </w:pPr>
      <w:r>
        <w:t>В настоящее время все большее предпочтение стало отдаваться малогабаритных устройствам. При лечении больных с переломами костей конечностей и энтозопатиями достаточно использование метода биообратной связи, основанном на пальпаторном определении болезненных точек и по данным стандартной рентгенографии пораженного сегмента.</w:t>
      </w:r>
    </w:p>
    <w:p w:rsidR="003F0B2A" w:rsidRDefault="00D738C9">
      <w:pPr>
        <w:pStyle w:val="a3"/>
        <w:divId w:val="754014980"/>
      </w:pPr>
      <w:r>
        <w:t>Швейцарской фирмой Electro Medical Systems разработан оригинальный малогабаритный, мобильный аппарат Swiss DolorClast, который позволяет проводить терапевтическое воз-действие на 15 уровнях частоты звуковых колебаний (от 1 до 15 Гц), что соответствует частоте передачи импульса по нервному волокну и давлением от 1 до 4 атм.</w:t>
      </w:r>
    </w:p>
    <w:p w:rsidR="003F0B2A" w:rsidRDefault="00D738C9">
      <w:pPr>
        <w:pStyle w:val="a3"/>
        <w:divId w:val="754014980"/>
      </w:pPr>
      <w:r>
        <w:t>Ударные волны генерируются вне тела пневматическим источником, затем преобразуются и фокусируются в манипуляторе в звуковые волны. Малогабаритный аппликатор-манипулятор устанавливается непосредственно на кожу над зоной воздействия с любой локализацией и под нужным углом. Контакт аппликатора с кожей осуществляется через гель. Затем энергия расфокусированного импульса передается в мягкие ткани на глубину до 4 см. Звуковая волна характеризуется: очень высоким давлением, малой продолжительной, высокой мощностью импульса. Звуковые колебания вступают в резонанс с нейрорецепторами, побуждая их из зоны патологии. За счет раздражения мягких тканей происходит выброс эндорфинов (биологически обезболивающих веществ) в ответ на высокоэнергетическое воздействие. В клетках костной ткани частично разрушаются мембраны, освобождаются кальций-содержащие соединения, возникают микрокровоизлияния, что является пластических материалом в формировании костной мозоли при переломах. Низкоэнергетическими ударно-волновыми импульсами возможно проведение стимуляции грануляционной ткани при лечении ран. Сотрудниками фирмы Dornier Medizintechnik (Германия) была отработана методика лечения миотонических синдромов (ДЦП у детей, болевой дефанс мышц при радикулитах) с помощью расфокусированных низкоэнергетических волн.</w:t>
      </w:r>
    </w:p>
    <w:p w:rsidR="003F0B2A" w:rsidRDefault="00D738C9">
      <w:pPr>
        <w:pStyle w:val="3"/>
        <w:divId w:val="754014980"/>
      </w:pPr>
      <w:r>
        <w:rPr>
          <w:u w:val="single"/>
        </w:rPr>
        <w:t>Методика проведения ЭУВТ</w:t>
      </w:r>
    </w:p>
    <w:p w:rsidR="003F0B2A" w:rsidRPr="00D738C9" w:rsidRDefault="00D738C9">
      <w:pPr>
        <w:pStyle w:val="a3"/>
        <w:divId w:val="754014980"/>
      </w:pPr>
      <w:r>
        <w:t>Предварительное обследование:</w:t>
      </w:r>
    </w:p>
    <w:p w:rsidR="003F0B2A" w:rsidRDefault="00D738C9">
      <w:pPr>
        <w:pStyle w:val="a3"/>
        <w:divId w:val="754014980"/>
      </w:pPr>
      <w:r>
        <w:t xml:space="preserve">§ жалобы, анамнез, клинические проявления заболевания или травмы опорно-двигательного аппарата; </w:t>
      </w:r>
    </w:p>
    <w:p w:rsidR="003F0B2A" w:rsidRDefault="00D738C9">
      <w:pPr>
        <w:pStyle w:val="a3"/>
        <w:divId w:val="754014980"/>
      </w:pPr>
      <w:r>
        <w:t xml:space="preserve">§ всем больным наряду с традиционной рентгенографией в стандартных проекциях обязательное проведение УЗИ связок, сухожилий и суставов в зоне воздействия; </w:t>
      </w:r>
    </w:p>
    <w:p w:rsidR="003F0B2A" w:rsidRDefault="00D738C9">
      <w:pPr>
        <w:pStyle w:val="a3"/>
        <w:divId w:val="754014980"/>
      </w:pPr>
      <w:r>
        <w:t>§ определение состояния свертывающей системы крови (коагулограмма), что позволяет получить максимально полную информацию о характере и локализации патологического процесса.</w:t>
      </w:r>
    </w:p>
    <w:p w:rsidR="003F0B2A" w:rsidRDefault="00D738C9">
      <w:pPr>
        <w:pStyle w:val="a3"/>
        <w:divId w:val="754014980"/>
      </w:pPr>
      <w:r>
        <w:t>После обработки кожи в области патологии контактным гелем подводится аппликатор, совмещая его центр с точкой наибольшей болезненности или проекцией перелома кости (ложного сустава). Как было отмечено, наиболее выраженный аналгезирующий эффект наблюдается при работе с частотой 4-6 Гц. Общее число импульсов в течение одного сеанса - 2000. При наличии кальцификации и гипертрофических ложных суставов увеличивается давление до 2,5-3 атм. и частота воздействия до 7-10 Гц.</w:t>
      </w:r>
    </w:p>
    <w:p w:rsidR="003F0B2A" w:rsidRDefault="00D738C9">
      <w:pPr>
        <w:pStyle w:val="a3"/>
        <w:divId w:val="754014980"/>
      </w:pPr>
      <w:r>
        <w:t>Осложнений при ЭУВТ, как правило, не наблюдается при строгом соблюдении методики. Отмечена хорошая переносимость ее пациентами, эффективность достигается в 85-90% случаев. Следует особо остановится на определении показаний и противопоказаний к проведению данного метода.</w:t>
      </w:r>
    </w:p>
    <w:p w:rsidR="003F0B2A" w:rsidRDefault="00D738C9">
      <w:pPr>
        <w:pStyle w:val="a3"/>
        <w:divId w:val="754014980"/>
      </w:pPr>
      <w:r>
        <w:rPr>
          <w:b/>
          <w:bCs/>
        </w:rPr>
        <w:t>Общие показания</w:t>
      </w:r>
      <w:r>
        <w:t>. Свежие переломы, гипертрофические ложные суставы, асептические некрозы костей (наличие металлоконструкций не является препятствием для ЭУВТ).</w:t>
      </w:r>
      <w:r>
        <w:br/>
      </w:r>
      <w:r>
        <w:rPr>
          <w:b/>
          <w:bCs/>
        </w:rPr>
        <w:t>Специальные показания</w:t>
      </w:r>
      <w:r>
        <w:t>. Дегенеративные изменения и воспалительные процессы на участках соединений сухожилие-кость и на манжетах мускулов.</w:t>
      </w:r>
      <w:r>
        <w:br/>
        <w:t>Плечевой сустав. Обызвествление, ригидность манжеты мыщцы-ротатора, импиджмент синдром, поддельтовидный бурсит (бурсит субакромиальной сумки).</w:t>
      </w:r>
      <w:r>
        <w:br/>
        <w:t>Локтевой сустав. Теннисный локоть (Epicondylitis humeri radialis et ulnaris).</w:t>
      </w:r>
      <w:r>
        <w:br/>
        <w:t>Стопа. Тендопериостопатия пяточного бугра (подошвенная пяточная шпора), подошвенный бурсит, плантарный фасциит, хронический ахиллобурсит, паратенонит, тендинит и кальцификация ахиллова сухожилия.</w:t>
      </w:r>
      <w:r>
        <w:br/>
        <w:t>Коленный сустав. Тендопериостопатия верхнего и нижнего полюса надколенника, раздражения сухожилия надколенника (синдром верхушки надколенника).</w:t>
      </w:r>
      <w:r>
        <w:br/>
        <w:t>Тазобедренный сустав. Воспаления синовиальной сумки большого вертела бедра (трохан-терит).</w:t>
      </w:r>
    </w:p>
    <w:p w:rsidR="003F0B2A" w:rsidRDefault="00D738C9">
      <w:pPr>
        <w:pStyle w:val="a3"/>
        <w:divId w:val="754014980"/>
      </w:pPr>
      <w:r>
        <w:t>Применение метода ЭУВТ на основании знаний и опыта, имеющихся на сегодняшний день, категорически противопоказано при проведении лечения:</w:t>
      </w:r>
    </w:p>
    <w:p w:rsidR="003F0B2A" w:rsidRDefault="00D738C9">
      <w:pPr>
        <w:pStyle w:val="a3"/>
        <w:divId w:val="754014980"/>
      </w:pPr>
      <w:r>
        <w:t xml:space="preserve">§ онкологических больных; </w:t>
      </w:r>
    </w:p>
    <w:p w:rsidR="003F0B2A" w:rsidRDefault="00D738C9">
      <w:pPr>
        <w:pStyle w:val="a3"/>
        <w:divId w:val="754014980"/>
      </w:pPr>
      <w:r>
        <w:t xml:space="preserve">§ над эпифизарными зонами у детей и подростков; </w:t>
      </w:r>
    </w:p>
    <w:p w:rsidR="003F0B2A" w:rsidRDefault="00D738C9">
      <w:pPr>
        <w:pStyle w:val="a3"/>
        <w:divId w:val="754014980"/>
      </w:pPr>
      <w:r>
        <w:t xml:space="preserve">§ ребер, тела позвонка и костей черепа, вблизи больших сосудов (опасность тромбоза), кишечника и легочной ткани; </w:t>
      </w:r>
    </w:p>
    <w:p w:rsidR="003F0B2A" w:rsidRDefault="00D738C9">
      <w:pPr>
        <w:pStyle w:val="a3"/>
        <w:divId w:val="754014980"/>
      </w:pPr>
      <w:r>
        <w:t xml:space="preserve">§ пациентов с нарушениями свертываемости крови; </w:t>
      </w:r>
    </w:p>
    <w:p w:rsidR="003F0B2A" w:rsidRDefault="00D738C9">
      <w:pPr>
        <w:pStyle w:val="a3"/>
        <w:divId w:val="754014980"/>
      </w:pPr>
      <w:r>
        <w:t xml:space="preserve">§ пациентов с инфекционными заболеваниями; </w:t>
      </w:r>
    </w:p>
    <w:p w:rsidR="003F0B2A" w:rsidRDefault="00D738C9">
      <w:pPr>
        <w:pStyle w:val="a3"/>
        <w:divId w:val="754014980"/>
      </w:pPr>
      <w:r>
        <w:t xml:space="preserve">§ пациентов с водителями ритма сердца (при электромагнитном, гидравлическом и пьезоэлектрическом принципе устройства генератора), обострением заболеваний сердечно-сосудистой системы; </w:t>
      </w:r>
    </w:p>
    <w:p w:rsidR="003F0B2A" w:rsidRDefault="00D738C9">
      <w:pPr>
        <w:pStyle w:val="a3"/>
        <w:divId w:val="754014980"/>
      </w:pPr>
      <w:r>
        <w:t>§ системные заболевания соединительной ткани.</w:t>
      </w:r>
    </w:p>
    <w:p w:rsidR="003F0B2A" w:rsidRDefault="00D738C9">
      <w:pPr>
        <w:pStyle w:val="a3"/>
        <w:divId w:val="754014980"/>
      </w:pPr>
      <w:r>
        <w:t>Из всего сказанного можно сделать вывод, что данное направление является новым, достаточно прогрессивным, ввиду малой травматичности, неинвазивности, узкого круга противопоказаний. Развитие методики в большей мере сдерживается дороговизной аппаратов.</w:t>
      </w:r>
    </w:p>
    <w:p w:rsidR="003F0B2A" w:rsidRDefault="00D738C9">
      <w:pPr>
        <w:pStyle w:val="a3"/>
        <w:divId w:val="754014980"/>
      </w:pPr>
      <w:r>
        <w:t>С мая 2001 года на отечественном рынке стали получать распространение аппараты для ЭУВТ с пневматическим принципом генерации энергии Swiss DolorClast фирмы Electro Medical Systems (Швейцария). В настоящее время этими аппаратами оснащен ряд медицинских учреждений России: Больница Управления делами Президента РФ; поликлиника Правительства Москвы "Медси"; 3 ЦВКГ им. Вишневского; Врачебно-физкультурный центр г. Тюмени; Гута-Клиник; Федеральный центр спортивной медицины; Реабилитационный центр "Санте Технолоджис". Учитывая возможность лечения нагрузочных и посттравматических тендопереостопатий, энтезопатий с эктопическими оссификатами, фасциитов, миозитов, аппарат Swiss DolorClast приобретен рядом спортивных команд и клубов России и ближнего зарубежья: "Локомотив" (Москва); "Шахтер" (Донецк); "Динамо" (Киев); Врачебно-физкультурный центр (Минск).</w:t>
      </w:r>
    </w:p>
    <w:p w:rsidR="003F0B2A" w:rsidRDefault="00D738C9">
      <w:pPr>
        <w:pStyle w:val="a3"/>
        <w:divId w:val="754014980"/>
      </w:pPr>
      <w:r>
        <w:t>Такое быстрое распространение аппарата Swiss DolorClast стало возможным благодаря уникальному сочетанию высокой эффективности в лечении и низкой стоимости, малогабаритности и мобильности. Для сравнения приведем технико-экономическую характеристику аппаратов для ЭУВТ, присутствующих на мировом и отечественном рынках.</w:t>
      </w: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480"/>
        <w:gridCol w:w="480"/>
        <w:gridCol w:w="480"/>
      </w:tblGrid>
      <w:tr w:rsidR="003F0B2A">
        <w:trPr>
          <w:divId w:val="75401498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Название аппарата, Фирма-изготовитель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Источник волн и плотность энергетического потока, мДж/мм</w:t>
            </w:r>
            <w:r w:rsidRPr="00D738C9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Глубина проник-новения волны,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Габариты,</w:t>
            </w:r>
            <w:r w:rsidRPr="00D738C9">
              <w:br/>
              <w:t>мм</w:t>
            </w:r>
          </w:p>
        </w:tc>
      </w:tr>
      <w:tr w:rsidR="003F0B2A">
        <w:trPr>
          <w:divId w:val="7540149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Swiss DolorClast,</w:t>
            </w:r>
            <w:r w:rsidRPr="00D738C9">
              <w:br/>
              <w:t>EMS, Швейцария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Пневматический</w:t>
            </w:r>
            <w:r w:rsidRPr="00D738C9">
              <w:br/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340х390х142</w:t>
            </w:r>
          </w:p>
        </w:tc>
      </w:tr>
      <w:tr w:rsidR="003F0B2A">
        <w:trPr>
          <w:divId w:val="7540149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EPOS,</w:t>
            </w:r>
            <w:r w:rsidRPr="00D738C9">
              <w:br/>
              <w:t>Dornier Medizintechnik, 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Электромагнитный</w:t>
            </w:r>
            <w:r w:rsidRPr="00D738C9">
              <w:br/>
              <w:t>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600х900х1100</w:t>
            </w:r>
          </w:p>
        </w:tc>
      </w:tr>
      <w:tr w:rsidR="003F0B2A">
        <w:trPr>
          <w:divId w:val="7540149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MINILITH SL1,</w:t>
            </w:r>
            <w:r w:rsidRPr="00D738C9">
              <w:br/>
              <w:t>Karl Storz, 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Электромагнитный</w:t>
            </w:r>
            <w:r w:rsidRPr="00D738C9">
              <w:br/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750х850х1540</w:t>
            </w:r>
          </w:p>
        </w:tc>
      </w:tr>
      <w:tr w:rsidR="003F0B2A">
        <w:trPr>
          <w:divId w:val="7540149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ORTHO WAVE,</w:t>
            </w:r>
            <w:r w:rsidRPr="00D738C9">
              <w:br/>
              <w:t>Medical Technologies, 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Электрогидравлический</w:t>
            </w:r>
            <w:r w:rsidRPr="00D738C9">
              <w:br/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990х990х720</w:t>
            </w:r>
          </w:p>
        </w:tc>
      </w:tr>
      <w:tr w:rsidR="003F0B2A">
        <w:trPr>
          <w:divId w:val="7540149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OSSATRON,</w:t>
            </w:r>
            <w:r w:rsidRPr="00D738C9">
              <w:br/>
              <w:t>High Medical Tech., 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Электрогидравлический</w:t>
            </w:r>
            <w:r w:rsidRPr="00D738C9">
              <w:br/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780х2000х1550</w:t>
            </w:r>
          </w:p>
        </w:tc>
      </w:tr>
      <w:tr w:rsidR="003F0B2A">
        <w:trPr>
          <w:divId w:val="7540149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PIEZOSON 100,</w:t>
            </w:r>
            <w:r w:rsidRPr="00D738C9">
              <w:br/>
              <w:t>Richard Wolf, 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Pr="00D738C9" w:rsidRDefault="00D738C9">
            <w:pPr>
              <w:pStyle w:val="a3"/>
            </w:pPr>
            <w:r w:rsidRPr="00D738C9">
              <w:t>Пьезоэлектрический</w:t>
            </w:r>
            <w:r w:rsidRPr="00D738C9">
              <w:br/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2A" w:rsidRDefault="00D738C9">
            <w:r>
              <w:t>750х920х1300</w:t>
            </w:r>
          </w:p>
        </w:tc>
      </w:tr>
    </w:tbl>
    <w:p w:rsidR="003F0B2A" w:rsidRDefault="003F0B2A">
      <w:pPr>
        <w:divId w:val="754014980"/>
      </w:pPr>
    </w:p>
    <w:p w:rsidR="003F0B2A" w:rsidRDefault="00D738C9">
      <w:pPr>
        <w:pStyle w:val="3"/>
        <w:divId w:val="754014980"/>
      </w:pPr>
      <w:r>
        <w:rPr>
          <w:u w:val="single"/>
        </w:rPr>
        <w:t>Экстракорпоральное ультрафиолетовое облучение аутокрови в комплексном лечении больных с переломами длинных трубчатых костей</w:t>
      </w:r>
    </w:p>
    <w:p w:rsidR="003F0B2A" w:rsidRPr="00D738C9" w:rsidRDefault="00D738C9">
      <w:pPr>
        <w:pStyle w:val="a3"/>
        <w:divId w:val="754014980"/>
      </w:pPr>
      <w:r>
        <w:rPr>
          <w:u w:val="single"/>
        </w:rPr>
        <w:t> </w:t>
      </w:r>
    </w:p>
    <w:p w:rsidR="003F0B2A" w:rsidRDefault="00D738C9">
      <w:pPr>
        <w:pStyle w:val="a3"/>
        <w:spacing w:after="240" w:afterAutospacing="0"/>
        <w:divId w:val="754014980"/>
      </w:pPr>
      <w:r>
        <w:rPr>
          <w:i/>
          <w:iCs/>
        </w:rPr>
        <w:t>(В.И. Кондрашов, А.П. Гончар-Зайкин, Д.С. Дзема)</w:t>
      </w:r>
      <w:r>
        <w:rPr>
          <w:i/>
          <w:iCs/>
        </w:rPr>
        <w:br/>
      </w:r>
    </w:p>
    <w:p w:rsidR="003F0B2A" w:rsidRDefault="0025684A">
      <w:pPr>
        <w:pStyle w:val="a3"/>
        <w:divId w:val="7540149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8.75pt;height:3.75pt">
            <v:imagedata r:id="rId5" o:title=""/>
          </v:shape>
        </w:pict>
      </w:r>
      <w:r w:rsidR="00D738C9">
        <w:t xml:space="preserve">В период 1998 – 1999 г.г. нами было применено экстракорпоральное ультрафиолетовое облучение аутокрови (АУФОК) у 18 мужчин в возрасте от 21 до 52 лет, с закрытыми переломами длинных трубчатых костей в период от 3 до 4 недель после получения травмы и не нуждающихся в оперативном лечении. </w:t>
      </w:r>
    </w:p>
    <w:p w:rsidR="003F0B2A" w:rsidRDefault="0025684A">
      <w:pPr>
        <w:pStyle w:val="a3"/>
        <w:divId w:val="754014980"/>
      </w:pPr>
      <w:r>
        <w:rPr>
          <w:noProof/>
        </w:rPr>
        <w:pict>
          <v:shape id="_x0000_i1036" type="#_x0000_t75" style="width:18.75pt;height:3.75pt">
            <v:imagedata r:id="rId5" o:title=""/>
          </v:shape>
        </w:pict>
      </w:r>
      <w:r w:rsidR="00D738C9">
        <w:t xml:space="preserve">У всех больных данной группы сохранялись боли в месте перелома, отек  поврежденных конечностей. В крови отмечался лейкоцитоз с нейтрофильным сдвигом влево, снижение относительного и абсолютного количества лимфоцитов. Рентгенологические признаки консолидации перелома не определялись.  </w:t>
      </w:r>
    </w:p>
    <w:p w:rsidR="003F0B2A" w:rsidRDefault="0025684A">
      <w:pPr>
        <w:pStyle w:val="a3"/>
        <w:divId w:val="754014980"/>
      </w:pPr>
      <w:r>
        <w:rPr>
          <w:noProof/>
        </w:rPr>
        <w:pict>
          <v:shape id="_x0000_i1039" type="#_x0000_t75" style="width:18.75pt;height:3.75pt">
            <v:imagedata r:id="rId5" o:title=""/>
          </v:shape>
        </w:pict>
      </w:r>
      <w:r w:rsidR="00D738C9">
        <w:t xml:space="preserve">Лечение проводилось аппаратами «Изольда» и «Надежда» отечественного производства по общепринятой реверсивной методике со скоростью 12 мл в минуту. Доза облучения составляла 3,0 – 3,6 Дж/мл при объеме крови в расчете 2 мл на 1 кг веса больного. Всем больным было выполнено 5 сеансов повторяемых ежедневно. </w:t>
      </w:r>
    </w:p>
    <w:p w:rsidR="003F0B2A" w:rsidRDefault="0025684A">
      <w:pPr>
        <w:pStyle w:val="a3"/>
        <w:divId w:val="754014980"/>
      </w:pPr>
      <w:r>
        <w:rPr>
          <w:noProof/>
        </w:rPr>
        <w:pict>
          <v:shape id="_x0000_i1042" type="#_x0000_t75" style="width:18.75pt;height:3.75pt">
            <v:imagedata r:id="rId5" o:title=""/>
          </v:shape>
        </w:pict>
      </w:r>
      <w:r w:rsidR="00D738C9">
        <w:t xml:space="preserve">В ходе проводимого лечения у 12 пациентов после 2 сеанса отмечено снижение болей, значительное уменьшение отека. К концу лечения боли у всех пациентов исчезли, у 3 (16,7%) больных сохранялся умеренный отек. </w:t>
      </w:r>
    </w:p>
    <w:p w:rsidR="003F0B2A" w:rsidRDefault="0025684A">
      <w:pPr>
        <w:pStyle w:val="a3"/>
        <w:divId w:val="754014980"/>
      </w:pPr>
      <w:r>
        <w:rPr>
          <w:noProof/>
        </w:rPr>
        <w:pict>
          <v:shape id="_x0000_i1045" type="#_x0000_t75" style="width:18.75pt;height:3.75pt">
            <v:imagedata r:id="rId5" o:title=""/>
          </v:shape>
        </w:pict>
      </w:r>
      <w:r w:rsidR="00D738C9">
        <w:t xml:space="preserve">В крови отмечено снижение лейкоцитоза, нормализация количества палочкоядерных нейтрофилов. Отмечен рост лимфоцитов. </w:t>
      </w:r>
    </w:p>
    <w:p w:rsidR="003F0B2A" w:rsidRDefault="0025684A">
      <w:pPr>
        <w:pStyle w:val="a3"/>
        <w:divId w:val="754014980"/>
      </w:pPr>
      <w:r>
        <w:rPr>
          <w:noProof/>
        </w:rPr>
        <w:pict>
          <v:shape id="_x0000_i1048" type="#_x0000_t75" style="width:18.75pt;height:3.75pt">
            <v:imagedata r:id="rId5" o:title=""/>
          </v:shape>
        </w:pict>
      </w:r>
      <w:r w:rsidR="00D738C9">
        <w:t xml:space="preserve">На рентгенограммах, через 1 неделю после окончания курса АУФОК определялось  начало консолидации перелома со всеми рентгенологическими признаками. </w:t>
      </w:r>
    </w:p>
    <w:p w:rsidR="003F0B2A" w:rsidRDefault="0025684A">
      <w:pPr>
        <w:pStyle w:val="a3"/>
        <w:divId w:val="754014980"/>
      </w:pPr>
      <w:r>
        <w:rPr>
          <w:noProof/>
        </w:rPr>
        <w:pict>
          <v:shape id="_x0000_i1051" type="#_x0000_t75" style="width:18.75pt;height:3.75pt">
            <v:imagedata r:id="rId5" o:title=""/>
          </v:shape>
        </w:pict>
      </w:r>
    </w:p>
    <w:p w:rsidR="003F0B2A" w:rsidRDefault="00D738C9">
      <w:pPr>
        <w:pStyle w:val="a3"/>
        <w:divId w:val="754014980"/>
      </w:pPr>
      <w:r>
        <w:t xml:space="preserve">Таким образом, применение АУФОК у больных с закрытыми переломами длинных трубчатых костей значительно снижает сроки начала консолидации перелома, купирует болевой синдром и уменьшает сроки воспалительной реакции, корригирует иммунный статус. </w:t>
      </w:r>
    </w:p>
    <w:p w:rsidR="003F0B2A" w:rsidRDefault="00D738C9">
      <w:pPr>
        <w:pStyle w:val="a3"/>
        <w:divId w:val="754014980"/>
      </w:pPr>
      <w:r>
        <w:rPr>
          <w:u w:val="single"/>
        </w:rPr>
        <w:t>Оперативное лечение переломов кости в вертельной области у пациентов пожилого и старческого возраста динамическими бедренным и мыщелковым винтами</w:t>
      </w:r>
    </w:p>
    <w:p w:rsidR="003F0B2A" w:rsidRDefault="00D738C9">
      <w:pPr>
        <w:pStyle w:val="a3"/>
        <w:divId w:val="754014980"/>
      </w:pPr>
      <w:r>
        <w:rPr>
          <w:u w:val="single"/>
        </w:rPr>
        <w:t> </w:t>
      </w:r>
    </w:p>
    <w:p w:rsidR="003F0B2A" w:rsidRDefault="00D738C9">
      <w:pPr>
        <w:pStyle w:val="a3"/>
        <w:divId w:val="754014980"/>
      </w:pPr>
      <w:r>
        <w:rPr>
          <w:i/>
          <w:iCs/>
        </w:rPr>
        <w:t>(А.Ф. Лазарев, А.П. Николаев, Э.И. Солод)</w:t>
      </w:r>
    </w:p>
    <w:p w:rsidR="003F0B2A" w:rsidRDefault="00D738C9">
      <w:pPr>
        <w:pStyle w:val="a3"/>
        <w:divId w:val="754014980"/>
      </w:pPr>
      <w:r>
        <w:rPr>
          <w:i/>
          <w:iCs/>
        </w:rPr>
        <w:t>"Кремлевская медицина. Клинический вестник" № 3, 1999г</w:t>
      </w:r>
    </w:p>
    <w:p w:rsidR="003F0B2A" w:rsidRDefault="00D738C9">
      <w:pPr>
        <w:pStyle w:val="a3"/>
        <w:divId w:val="754014980"/>
      </w:pPr>
      <w:r>
        <w:t>Переломы вертельной области наиболее часто встречаются в пожилом и старческом возрасте, что дает основание относить их к категории опасной для жизни травмы. Это связано с тем, что итогом данных повреждений почти всегда является обездвиженность пострадавших, неминуемо в пожилом возрасте приводящая к гипостатическим осложнениям и в большинстве случаев к летальным исходам.</w:t>
      </w:r>
    </w:p>
    <w:p w:rsidR="003F0B2A" w:rsidRDefault="00D738C9">
      <w:pPr>
        <w:pStyle w:val="a3"/>
        <w:divId w:val="754014980"/>
      </w:pPr>
      <w:r>
        <w:t xml:space="preserve">Скелетное вытяжение, как правило применяющееся при консервативном ведении подобных переломов, могут выдержать только самые выносливые пациенты, которых в пожилом возрасте не так много. В отличие от консервативных способов ведения, оперативное лечение позволяет репонировать перелом, стабильно фиксировать отломки, быстро поднять больного на ноги, улучшить уход за пострадавшими и тем самым снизить количество осложнений и летальность, которая при консервативном лечении составляет от 33,7 до 45,3%. Поэтому в последнее время большинство травматологов при выборе тактики ведения пожилых больных с переломами вертельной области считают наиболее правильным оперативное лечение. </w:t>
      </w:r>
    </w:p>
    <w:p w:rsidR="003F0B2A" w:rsidRDefault="00D738C9">
      <w:pPr>
        <w:pStyle w:val="a3"/>
        <w:divId w:val="754014980"/>
      </w:pPr>
      <w:r>
        <w:t xml:space="preserve">В настоящее время для остеосинтеза переломов вертельной области используется множество разнообразных фиксаторов и способов. Одним из широко распространенных ранее, используемых в травматологических стационарах и сегодня, является трехлопастной гвоздь Смит-Петерсена в сочетании с диафизарной накладкой, разработанной Thornton и Petersen, и в последующем модифицированный. </w:t>
      </w:r>
    </w:p>
    <w:p w:rsidR="003F0B2A" w:rsidRDefault="00D738C9">
      <w:pPr>
        <w:pStyle w:val="a3"/>
        <w:divId w:val="754014980"/>
      </w:pPr>
      <w:r>
        <w:t xml:space="preserve">Распространенным остается остеосинтез угловыми пластинами различных модификаций с применением при необходимости костной аутопластики, транспозиции большого вертела и остеотомии. Биомеханически обоснованным и не потерявшим практической ценности остается остеосинтез гибкими стержнями Эндера. </w:t>
      </w:r>
    </w:p>
    <w:p w:rsidR="003F0B2A" w:rsidRDefault="00D738C9">
      <w:pPr>
        <w:pStyle w:val="a3"/>
        <w:divId w:val="754014980"/>
      </w:pPr>
      <w:r>
        <w:t xml:space="preserve">В последнее время широкое распространение как за рубежом, так и в России при оперативном лечении переломов вертельной области получили динамический бедренный винт DHS ( Dynamic Hip Screw) и динамический мыщелковый винт DCS ( Dynamic Condylar Screw) с диафизарными накладками. Накоплен значительный опыт практического применения этих фиксаторов, однако и сейчас среди травматологов существуют разногласия в эффективности применения DHS у больных пожилого и старческого возраста, как правило страдающих остеопорозом. Одни авторы считают фиксацию такими конструкциями неоправданной, другие находят остеосинтез ими достаточно эффективным. </w:t>
      </w:r>
    </w:p>
    <w:p w:rsidR="003F0B2A" w:rsidRDefault="00D738C9">
      <w:pPr>
        <w:pStyle w:val="a3"/>
        <w:divId w:val="754014980"/>
      </w:pPr>
      <w:r>
        <w:t xml:space="preserve">В связи с этим в травматологическом отделении ЦКБ мы провели исследование, целью которого было изучение результатов оперативного лечения переломов вертельной области у пациентов пожилого и старческого возраста фиксаторами DHS и DCS и определение возможностей остеосинтеза этими конструкциями. </w:t>
      </w:r>
    </w:p>
    <w:p w:rsidR="003F0B2A" w:rsidRDefault="00D738C9">
      <w:pPr>
        <w:pStyle w:val="a3"/>
        <w:divId w:val="754014980"/>
      </w:pPr>
      <w:r>
        <w:t xml:space="preserve">Материал и методы исследования </w:t>
      </w:r>
    </w:p>
    <w:p w:rsidR="003F0B2A" w:rsidRDefault="00D738C9">
      <w:pPr>
        <w:pStyle w:val="a3"/>
        <w:divId w:val="754014980"/>
      </w:pPr>
      <w:r>
        <w:t xml:space="preserve">В период 1996_1998 гг. было проведено оперативное лечение переломов вертельной области конструкция ми DHS и DCS у 57 пациентов пожилого и старческого возраста, средний возраст которых составил 76,5 года. </w:t>
      </w:r>
    </w:p>
    <w:p w:rsidR="003F0B2A" w:rsidRDefault="00D738C9">
      <w:pPr>
        <w:pStyle w:val="a3"/>
        <w:divId w:val="754014980"/>
      </w:pPr>
      <w:r>
        <w:t xml:space="preserve">Для детального изучения исходов заболевания и выбора фиксатора первостепенное значение имеет подразделение переломов вертельной области на анатомически и рентгенологически четко очерченные группы. В связи с этим при изучении этой проблемы мы разделили переломы на чрезвертельные с двумя изолированными отломками и отрывом малого вертела, чрезвертельные с двумя и более от ломками и отрывом большого и малого вертела, межвертельные и многофрагментарные чресподвертельные переломы. </w:t>
      </w:r>
    </w:p>
    <w:p w:rsidR="003F0B2A" w:rsidRDefault="00D738C9">
      <w:pPr>
        <w:pStyle w:val="a3"/>
        <w:divId w:val="754014980"/>
      </w:pPr>
      <w:r>
        <w:t xml:space="preserve">В зависимости от характера перелома выбирали фиксатор для остеосинтеза, поэтому все переломы классифицировали на три типа. К переломам I типа относили чрезвертельные переломы с двумя изолированными отломками и отрывом малого вертела. По классификации Ассоциации остеосинтеза (АО) их можно отнести к группе простых чрезвертельных переломов (тип А1). Такие переломы фиксировали металлоконструкцией DHS. К переломам II типа относили чрезвертельные переломы с отрывом большого и малого вертела, что соответствовало по классификации АО оскольчатым чрезвертельным переломам (тип А2). В этих случаях производили остеосинтез фиксатором DHS с накладкой на большой вертел. Межвертельные переломы и многофрагментарные чресподвертельные выделили в III тип — группу переломов, которые по классификации АО можно отнести к межвертельным переломам (тип А3). Такие переломы фиксировали DCS с диафизарной накладкой. </w:t>
      </w:r>
    </w:p>
    <w:p w:rsidR="003F0B2A" w:rsidRDefault="00D738C9">
      <w:pPr>
        <w:pStyle w:val="a3"/>
        <w:divId w:val="754014980"/>
      </w:pPr>
      <w:r>
        <w:t xml:space="preserve">Остеосинтез конструкцией DHS был выполнен у 45 (82%) пациентов, фиксация DHS с накладкой на большой вертел — у 5 (8%) и у 7 (10%) больных был произведен остеосинтез фиксатором DCS. </w:t>
      </w:r>
    </w:p>
    <w:p w:rsidR="003F0B2A" w:rsidRDefault="00D738C9">
      <w:pPr>
        <w:pStyle w:val="a3"/>
        <w:divId w:val="754014980"/>
      </w:pPr>
      <w:r>
        <w:t xml:space="preserve">Все больные были разделены на две группы. В 1-ю группу вошли 42 (74% оперированных) пациента, которые до травмы ходили самостоятельно без средств опоры и система гомеостаза которых до поступления в стационар была в компенсированном состоянии. Основной задачей остеосинтеза в этих случаях было восстановление двигательной активности в прежнем объеме. </w:t>
      </w:r>
    </w:p>
    <w:p w:rsidR="003F0B2A" w:rsidRDefault="00D738C9">
      <w:pPr>
        <w:pStyle w:val="a3"/>
        <w:divId w:val="754014980"/>
      </w:pPr>
      <w:r>
        <w:t xml:space="preserve">Нами оценивались ближайшие после операции (до выписки из стационара ) и отдаленные результаты лечения (через 8-10 месяцев после остеосинтеза ). </w:t>
      </w:r>
    </w:p>
    <w:p w:rsidR="003F0B2A" w:rsidRDefault="00D738C9">
      <w:pPr>
        <w:pStyle w:val="a3"/>
        <w:divId w:val="754014980"/>
      </w:pPr>
      <w:r>
        <w:t xml:space="preserve">При оценке ближайших результатов лечения в 1-й группе неудовлетворительным результатом считалось укорочение поврежденной нижней конечности более 1 см и сохранение наружной ротации стопы. Укорочение от 0,5 до 1 см и возможность передвижения со средствами опоры с частичной нагрузкой на оперированную конечность оценивалось как удовлетворительный результат. Отсутствие укорочения и восстановление опорности нижней конечности с возможностью самостоятельного передвижения со средствами опоры считалось хорошим результатом. </w:t>
      </w:r>
    </w:p>
    <w:p w:rsidR="003F0B2A" w:rsidRDefault="00D738C9">
      <w:pPr>
        <w:pStyle w:val="a3"/>
        <w:divId w:val="754014980"/>
      </w:pPr>
      <w:r>
        <w:t xml:space="preserve">Во 2-ю группу вошли 15 (26% оперированных) пациентов, самостоятельное передвижение которых еще до травмы было ограничено (могли двигаться на короткие расстояния со средствами опоры или посторонней помощью) и которые уже до госпитализации имели декомпенсацию сопутствующих заболеваний. Основной задачей остеосинтеза в этой ситуации было купирование болевого синдрома, улучшение возможности ухода за больными и активизация их в кровате, т.е. борьба с гипостатическими осложнениями и летальностью, а также улучшение качества жизни. </w:t>
      </w:r>
    </w:p>
    <w:p w:rsidR="003F0B2A" w:rsidRDefault="00D738C9">
      <w:pPr>
        <w:pStyle w:val="a3"/>
        <w:divId w:val="754014980"/>
      </w:pPr>
      <w:r>
        <w:t xml:space="preserve">При оценке ближайших результатов во 2-й группе неудовлетворительным считали развитие после операции декубитальных язв, гипостатических пневмоний, тромбозов и летальные исходы. К удовлетворительным результатам относили отсутствие гипостатических осложнений при ограничении двигательной активности. Отсутствие гипо-статических осложнений и болевого синдрома, возможность пострадавших присаживаться в постели и достижение объема двигательной активности , существовавшего до падения, оценивали как хороший результат. </w:t>
      </w:r>
    </w:p>
    <w:p w:rsidR="003F0B2A" w:rsidRDefault="00D738C9">
      <w:pPr>
        <w:pStyle w:val="a3"/>
        <w:divId w:val="754014980"/>
      </w:pPr>
      <w:r>
        <w:t xml:space="preserve">При анализе отдаленных результатов в обеих группах неудовлетворительным считали несращение перелома, миграцию фиксатора; удовлетворительным — отсутствие признаков консолидации при стабильном положении фиксатора и хорошим — консолидацию перелома при стабильном положении металлофиксатора. </w:t>
      </w:r>
    </w:p>
    <w:p w:rsidR="003F0B2A" w:rsidRDefault="00D738C9">
      <w:pPr>
        <w:pStyle w:val="a3"/>
        <w:divId w:val="754014980"/>
      </w:pPr>
      <w:r>
        <w:t xml:space="preserve">Дополнительно 40 (70% оперированных ) пациентам была произведена оценка минеральной плотности костной ткани методом биэнергетической рентгеновской абсорбциометрии на костном денситометре Hologic-4500. </w:t>
      </w:r>
    </w:p>
    <w:p w:rsidR="003F0B2A" w:rsidRDefault="00D738C9">
      <w:pPr>
        <w:pStyle w:val="a3"/>
        <w:divId w:val="754014980"/>
      </w:pPr>
      <w:r>
        <w:t xml:space="preserve">Результаты исследования и их обсуждение </w:t>
      </w:r>
    </w:p>
    <w:p w:rsidR="003F0B2A" w:rsidRDefault="00D738C9">
      <w:pPr>
        <w:pStyle w:val="a3"/>
        <w:divId w:val="754014980"/>
      </w:pPr>
      <w:r>
        <w:t xml:space="preserve">При анализе ближайших результатов остеосинтеза у больных 1-й группы хороший результат получен у 37 (88 %) пациентов , удовлетворительный — у 4 (9%) и неудовлетворительный — у одного (3%) пострадавшего . </w:t>
      </w:r>
    </w:p>
    <w:p w:rsidR="003F0B2A" w:rsidRDefault="00D738C9">
      <w:pPr>
        <w:pStyle w:val="a3"/>
        <w:divId w:val="754014980"/>
      </w:pPr>
      <w:r>
        <w:t xml:space="preserve">Анализ отдаленных результатов оперативного лечения в этой группе показал, что хороший результат, т.е. сращение перелома с полным восстановлением двигательной активности, получен у 39 (94%) пациентов, у 2 (4%) был неудовлетворительный результат. </w:t>
      </w:r>
    </w:p>
    <w:p w:rsidR="003F0B2A" w:rsidRDefault="00D738C9">
      <w:pPr>
        <w:pStyle w:val="a3"/>
        <w:divId w:val="754014980"/>
      </w:pPr>
      <w:r>
        <w:t xml:space="preserve">Во 2-й группе больных распределение ближайших результатов лечения было следующим: хороший результат — у 8 (60%) пациентов, удовлетворительный — у 4 (33%) и у 3 (7%) пострадавших был неудовлетворительный результат. Анализ отдаленных результатов в этой группе проводился у 11 больных, так как 4 пациентов этой группы умерли (3 больных в стационаре и один пациент через два месяца после выписки). При оценке отдаленных результатов из 11 пострадавших у 9 был хороший результат — достигнуто сращение перелома, и у 2 получен удовлетворительный результат — миграции фиксатора не было, однако рентгенологически четких признаков консолидации не определялось. </w:t>
      </w:r>
    </w:p>
    <w:p w:rsidR="003F0B2A" w:rsidRDefault="00D738C9">
      <w:pPr>
        <w:pStyle w:val="a3"/>
        <w:divId w:val="754014980"/>
      </w:pPr>
      <w:r>
        <w:t xml:space="preserve">Из 40 больных, исследованных методом рентгеновской абсорбциометрии, у 38 (95% обследованных ) пациентов выявлено нарушенное ремоделирование костной ткани, соответствующее по классификации ВОЗ выраженному остеопорозу. </w:t>
      </w:r>
    </w:p>
    <w:p w:rsidR="003F0B2A" w:rsidRDefault="00D738C9">
      <w:pPr>
        <w:pStyle w:val="a3"/>
        <w:divId w:val="754014980"/>
      </w:pPr>
      <w:r>
        <w:t xml:space="preserve">Успешное лечение переломов вертельной области у больных пожилого и старческого возраста невозможно без соблюдения очень важных, по нашему мнению, тактических принципов. </w:t>
      </w:r>
    </w:p>
    <w:p w:rsidR="003F0B2A" w:rsidRDefault="00D738C9">
      <w:pPr>
        <w:pStyle w:val="a3"/>
        <w:divId w:val="754014980"/>
      </w:pPr>
      <w:r>
        <w:t xml:space="preserve">Оперативное вмешательство у пожилых и старых больных в обеих группах производили только под эпидуральной анестезией с обязательной комплексной предоперационной подготовкой, включающей инфузионную, дезагрегационную, симптоматическую терапию, корригирующую системы гомеостаза пациентов. Остеосинтез производили в течение первых двух-трех суток с момента травмы. Продолжительность остеосинтеза у лиц преклонного возраста должна быть сведена к минимуму (операционное время при выполнении фиксации конструкциями DHS и DCS от разреза до наложения швов у нас составляло в среднем 45_50 минут). При этом необходима интраоперационная гемотрансфузия и возвращение каждой капли потерянной крови селсевером, так как даже незначительная интраоперационная кровопотеря (среднее значение кровопотери у наших пациентов было 150 мл) в пожилом возрасте повышает риск развития декомпенсации сердечно-сосудистой системы после операции. </w:t>
      </w:r>
    </w:p>
    <w:p w:rsidR="003F0B2A" w:rsidRDefault="00D738C9">
      <w:pPr>
        <w:pStyle w:val="a3"/>
        <w:divId w:val="754014980"/>
      </w:pPr>
      <w:r>
        <w:t xml:space="preserve">При остеосинтезе конструкциями DHS и DCS обязательно выполнение строгой последовательности манипуляций, так как несоблюдение методики проведения остеосинтеза приводит к значительному увеличению интраоперационного времени и, следовательно, к неудачным результатам. В данной работе мы подробно не останавливаемся на описании этапов остеосинтеза фиксаторами DHS и DCS — они общеизвестны и подробно описаны ранее, однако считаем особенно важным акцентировать на этом внимание, так как полученный у одного больного в ближайшем послеоперационном и отдаленном периодах неудовлетворительный результат лечения мы объясняем именно недостаточно правильным техническим выполнением остеосинтеза. </w:t>
      </w:r>
    </w:p>
    <w:p w:rsidR="003F0B2A" w:rsidRDefault="00D738C9">
      <w:pPr>
        <w:pStyle w:val="a3"/>
        <w:divId w:val="754014980"/>
      </w:pPr>
      <w:r>
        <w:t xml:space="preserve">Тот факт, что все 42 пациента 1-й группы были активизированы со средствами опоры, при этом у 88% из них восстановлена опорность поврежденной конечности в ближайшем послеоперационном периоде и у 98% — в отдаленном, подтверждает стабильность остеосинтеза и это при том, что у 95% пострадавших по результатам денситометрии выявлен остеопороз. </w:t>
      </w:r>
    </w:p>
    <w:p w:rsidR="003F0B2A" w:rsidRDefault="00D738C9">
      <w:pPr>
        <w:pStyle w:val="a3"/>
        <w:divId w:val="754014980"/>
      </w:pPr>
      <w:r>
        <w:t xml:space="preserve">Удовлетворительный результат в 1-й группе у 4 пациентов в ближайшем периоде и у 2 в отдаленном мы связываем с многофрагментарным оскольчатым характером перелома, что не позволило полностью репонировать отломки и замедлило процесс консолидации. </w:t>
      </w:r>
    </w:p>
    <w:p w:rsidR="003F0B2A" w:rsidRDefault="00D738C9">
      <w:pPr>
        <w:pStyle w:val="a3"/>
        <w:divId w:val="754014980"/>
      </w:pPr>
      <w:r>
        <w:t xml:space="preserve">Отсутствие гипостатических осложнений у 93% пострадавших 2-й группы, уже до травмы имевших декомпенсацию сопутствующих заболеваний, еще более усилившуюся после получения перелома, мы считаем большим достижением. Уже в ближайшем периоде 93% от всех больных этой группы была возвращена двигательная активность в пределах прежней и у 60% в отдаленном периоде достигнуто сращение перелома, что было возможно только благодаря прочной фиксации переломов конструкциями DHS и DCS и соблюдению тактических принципов ведения пожилых пострадавших, описанных ранее. </w:t>
      </w:r>
    </w:p>
    <w:p w:rsidR="003F0B2A" w:rsidRDefault="00D738C9">
      <w:pPr>
        <w:pStyle w:val="a3"/>
        <w:divId w:val="754014980"/>
      </w:pPr>
      <w:r>
        <w:t xml:space="preserve">Может возникнуть вопрос, нужен ли остеосинтез пациентам, которые уже до травмы не двигались или передвигались с трудом. Полученные нами результаты отвечают на этот вопрос. Оперативное лечение позволило таким больным избежать гипостатических осложнений, неизбежных при консервативном ведении, у больных уменьшился болевой синдром и значительно облегчился уход за ними, что в комплексе улучшило качество их жизни. </w:t>
      </w:r>
    </w:p>
    <w:p w:rsidR="003F0B2A" w:rsidRDefault="00D738C9">
      <w:pPr>
        <w:pStyle w:val="a3"/>
        <w:divId w:val="754014980"/>
      </w:pPr>
      <w:r>
        <w:t xml:space="preserve">Операция дала шанс на избавление от длительной и мучительной полной обездвиженности всем пострадавшим 2-й группы, и это было достигнуто у 93 % больных. Мы добились уменьшения летальности в 6 раз по сравнению с консервативным ведением таких пострадавших, что наглядно доказывает преимущество оперативного лечения и возможность эффективного использования даже у тяжелых больных конструкций DHS и DCS. </w:t>
      </w:r>
    </w:p>
    <w:p w:rsidR="003F0B2A" w:rsidRDefault="00D738C9">
      <w:pPr>
        <w:pStyle w:val="a3"/>
        <w:divId w:val="754014980"/>
      </w:pPr>
      <w:r>
        <w:t xml:space="preserve">Таким образом, наш опыт подтверждает результативность применения динамических бедренного и мыщелкового винтов при оперативном лечении переломов вертельной области даже при наличии у пациентов выраженного остеопороза. Строгое выполнение технических этапов остеосинтеза этими конструкциями, дифференциальный выбор фиксатора в зависимости от типа перелома, соблюдение тактических принципов ведения пожилых и старых больных в комплексе дает возможность получения успешных результатов лечения столь тяжелой в пожилом возрасте травмы. </w:t>
      </w:r>
    </w:p>
    <w:p w:rsidR="003F0B2A" w:rsidRDefault="00D738C9">
      <w:pPr>
        <w:pStyle w:val="a3"/>
        <w:divId w:val="754014980"/>
      </w:pPr>
      <w:r>
        <w:rPr>
          <w:u w:val="single"/>
        </w:rPr>
        <w:t>Методика комплексного лечения аваскулярных форм несросшихся переломов и ложных суставов диафиза большеберцовой кости</w:t>
      </w:r>
    </w:p>
    <w:p w:rsidR="003F0B2A" w:rsidRDefault="00D738C9">
      <w:pPr>
        <w:pStyle w:val="a3"/>
        <w:divId w:val="754014980"/>
      </w:pPr>
      <w:r>
        <w:rPr>
          <w:i/>
          <w:iCs/>
        </w:rPr>
        <w:t> </w:t>
      </w:r>
    </w:p>
    <w:p w:rsidR="003F0B2A" w:rsidRDefault="00D738C9">
      <w:pPr>
        <w:pStyle w:val="a3"/>
        <w:divId w:val="754014980"/>
      </w:pPr>
      <w:r>
        <w:rPr>
          <w:i/>
          <w:iCs/>
        </w:rPr>
        <w:t>(</w:t>
      </w:r>
      <w:r>
        <w:rPr>
          <w:i/>
          <w:iCs/>
          <w:u w:val="single"/>
        </w:rPr>
        <w:t>Е.Д. Белоенко,</w:t>
      </w:r>
      <w:r>
        <w:rPr>
          <w:i/>
          <w:iCs/>
        </w:rPr>
        <w:t xml:space="preserve"> А.Л. Линов, </w:t>
      </w:r>
      <w:r>
        <w:rPr>
          <w:i/>
          <w:iCs/>
          <w:u w:val="single"/>
        </w:rPr>
        <w:t>А.М. Мухля,</w:t>
      </w:r>
      <w:r>
        <w:rPr>
          <w:i/>
          <w:iCs/>
        </w:rPr>
        <w:t xml:space="preserve"> С.И. Худницкий)</w:t>
      </w:r>
    </w:p>
    <w:p w:rsidR="003F0B2A" w:rsidRDefault="00D738C9">
      <w:pPr>
        <w:pStyle w:val="a3"/>
        <w:divId w:val="754014980"/>
      </w:pPr>
      <w:r>
        <w:rPr>
          <w:i/>
          <w:iCs/>
        </w:rPr>
        <w:t>Белорусский научно-исследовательский институт травматологии и ортопедии</w:t>
      </w:r>
    </w:p>
    <w:p w:rsidR="003F0B2A" w:rsidRDefault="00D738C9">
      <w:pPr>
        <w:pStyle w:val="a3"/>
        <w:divId w:val="754014980"/>
      </w:pPr>
      <w:r>
        <w:t xml:space="preserve">При неудачном лечении пострадавших с диафизарными переломами костей голени среди причин, приводящих к стойкой потере трудоспособности, первое место занимают несросшиеся переломы и ложные суставы. Характерной особенностью структуры инвалидности при переломах данной локализации является резкое преобладание инвалидов второй группы. Наибольшую трудность в лечении представляют гипо- и аваскулярные формы ложных суставов. Сроки сращения при них наиболее длительные и позволяют установить инвалидность. </w:t>
      </w:r>
    </w:p>
    <w:p w:rsidR="003F0B2A" w:rsidRDefault="00D738C9">
      <w:pPr>
        <w:pStyle w:val="a3"/>
        <w:divId w:val="754014980"/>
      </w:pPr>
      <w:r>
        <w:t xml:space="preserve">В результате изучения вышеперечисленных проблем была разработана рациональная методика комплексного лечения апластических несросшихся переломов и аваскулярной формы ложного сустава диафиза большеберцовой кости без признаков инфекционного процесса, но осложненных грубыми рубцами кожи, смещением отломков, искривлением оси конечности. </w:t>
      </w:r>
    </w:p>
    <w:p w:rsidR="003F0B2A" w:rsidRDefault="00D738C9">
      <w:pPr>
        <w:pStyle w:val="a3"/>
        <w:divId w:val="754014980"/>
      </w:pPr>
      <w:r>
        <w:t xml:space="preserve">Лечение больного начинают с комплексной терапии, направленной на создание условий для нормализации циркуляторных, нервно-трофических нарушений голени. Клинические и экспериментальные исследования по оптимизации условий регенерации костной ткани показывают, что процесс репаративной остеорегенерации при осложненных переломах может быть управляемым при условии максимального сохранения анатомической структуры костной ткани и сосудистых костных сетей. Поэтому при атрофических несращениях с отсутствием или незначительными периостальными наслоениями на концах отломков костно-надкостничную декортикацию следует сочетать с пристеночной и интрамедуллярной костной пластикой губчатым аутотрансплантатом. Фиксация отломков осуществляется аппаратом Илизарова. Использование аутогенной губчатой кости в сочетании с декортикацией весьма эффективно, так как образующаяся периостальная костная мозоль, включающая костный трансплантат, активно воздействует на него, способствуя быстрой перестройке. </w:t>
      </w:r>
    </w:p>
    <w:p w:rsidR="003F0B2A" w:rsidRDefault="00D738C9">
      <w:pPr>
        <w:pStyle w:val="a3"/>
        <w:divId w:val="754014980"/>
      </w:pPr>
      <w:r>
        <w:t>Применение такой хирургической тактики с использованием костнопластических оперативных вмешательств и стабильной внеочаговой фиксации отломков, активной восстановительной терапии больных позволяет создать оптимальные условия для репаративного остеогенеза и добиться значительного уменьшения инвалидизирующих последствий несращения или ложных суставов костей голени у большинства больных. Разработанная методика сокращает сроки медицинской реабилитации этого контингента пострадавших.</w:t>
      </w:r>
    </w:p>
    <w:p w:rsidR="003F0B2A" w:rsidRDefault="00D738C9">
      <w:pPr>
        <w:pStyle w:val="a3"/>
        <w:divId w:val="754014980"/>
      </w:pPr>
      <w:r>
        <w:rPr>
          <w:i/>
          <w:iCs/>
        </w:rPr>
        <w:t xml:space="preserve">Область применения: </w:t>
      </w:r>
      <w:r>
        <w:t xml:space="preserve">медицина, восстановительная травматология и ортопедия. </w:t>
      </w:r>
    </w:p>
    <w:p w:rsidR="003F0B2A" w:rsidRDefault="00D738C9">
      <w:pPr>
        <w:pStyle w:val="a3"/>
        <w:divId w:val="754014980"/>
      </w:pPr>
      <w:r>
        <w:rPr>
          <w:i/>
          <w:iCs/>
        </w:rPr>
        <w:t xml:space="preserve">Рекомендации по использованию: </w:t>
      </w:r>
      <w:r>
        <w:t>разработанная методика применяется при лечении несросшихся переломов и ложных суставов костей голени в отделении острой и осложненной травмы.</w:t>
      </w:r>
    </w:p>
    <w:p w:rsidR="003F0B2A" w:rsidRDefault="003F0B2A">
      <w:pPr>
        <w:divId w:val="754014980"/>
      </w:pPr>
    </w:p>
    <w:p w:rsidR="003F0B2A" w:rsidRPr="00D738C9" w:rsidRDefault="00D738C9">
      <w:pPr>
        <w:pStyle w:val="a3"/>
        <w:divId w:val="754014980"/>
      </w:pPr>
      <w:r>
        <w:rPr>
          <w:u w:val="single"/>
        </w:rPr>
        <w:t>Методы остеосинтеза при реплантации конечностей и их сегментов</w:t>
      </w:r>
    </w:p>
    <w:p w:rsidR="003F0B2A" w:rsidRDefault="00D738C9">
      <w:pPr>
        <w:pStyle w:val="a3"/>
        <w:divId w:val="754014980"/>
      </w:pPr>
      <w:r>
        <w:rPr>
          <w:i/>
          <w:iCs/>
        </w:rPr>
        <w:t> </w:t>
      </w:r>
    </w:p>
    <w:p w:rsidR="003F0B2A" w:rsidRDefault="00D738C9">
      <w:pPr>
        <w:pStyle w:val="a3"/>
        <w:divId w:val="754014980"/>
      </w:pPr>
      <w:r>
        <w:rPr>
          <w:i/>
          <w:iCs/>
        </w:rPr>
        <w:t>(А.В.Борзых, И.М.Труфанов, В.В.Варин, А.И.Погориляк, В.В.Пастернак</w:t>
      </w:r>
      <w:r>
        <w:t xml:space="preserve"> )</w:t>
      </w:r>
    </w:p>
    <w:p w:rsidR="003F0B2A" w:rsidRDefault="00D738C9">
      <w:pPr>
        <w:pStyle w:val="a3"/>
        <w:divId w:val="754014980"/>
      </w:pPr>
      <w:r>
        <w:rPr>
          <w:i/>
          <w:iCs/>
        </w:rPr>
        <w:t>НИИ травматологии и ортопедии Донецкого государственного медицинского университета им.М.Горького, Донецк, Украина</w:t>
      </w:r>
    </w:p>
    <w:p w:rsidR="003F0B2A" w:rsidRDefault="00D738C9">
      <w:pPr>
        <w:pStyle w:val="a3"/>
        <w:divId w:val="754014980"/>
      </w:pPr>
      <w:r>
        <w:t>Авторами приведен опыт реплантаций конечностей и их сегментов у 114 пострадавших. Основными требованиями, предъявляемыми к остеосинтезу при реплантации конечностей и их сегментов, обеспечивающими оптимальные условия для выполнения сосудистого этапа операции и удобства ухода за конечностью в постреплантационном периоде, являются: стабильность фиксации, краткие сроки осуществления, минимальная травматичность и инвазивность. Выявлен ряд особенностей при выполнении остеоситнеза как при микро, так и при макрореплантациях. Методом выбора при выполнении  микрореплантаций сегментов конечностей является остеосинтез перекрещивающимися спицами. Данный метод простой, удобный, не требует больших затрат времени. Наиболее полно отвечает требованиям, которые предъявляются к остеосинтезу при макрореплантациях конечностей, двухэтапный остеосинтез - предварительный для выполнения микроанастамозов и окончательный - чрескостный остеосинтез аппаратами внешней фиксации. Что позволяет сократить время ишемии, дает стабильную фиксацию сегмента, оптимальные условия для заживления и ухода за раной.</w:t>
      </w:r>
    </w:p>
    <w:p w:rsidR="003F0B2A" w:rsidRDefault="003F0B2A">
      <w:pPr>
        <w:divId w:val="754014980"/>
      </w:pPr>
    </w:p>
    <w:p w:rsidR="003F0B2A" w:rsidRPr="00D738C9" w:rsidRDefault="00D738C9">
      <w:pPr>
        <w:pStyle w:val="a3"/>
        <w:divId w:val="754014980"/>
      </w:pPr>
      <w:r>
        <w:rPr>
          <w:u w:val="single"/>
        </w:rPr>
        <w:t>Литература</w:t>
      </w:r>
    </w:p>
    <w:p w:rsidR="003F0B2A" w:rsidRDefault="00D738C9">
      <w:pPr>
        <w:pStyle w:val="a3"/>
        <w:divId w:val="754014980"/>
      </w:pPr>
      <w:r>
        <w:rPr>
          <w:u w:val="single"/>
        </w:rPr>
        <w:t> </w:t>
      </w:r>
    </w:p>
    <w:p w:rsidR="003F0B2A" w:rsidRDefault="00D738C9">
      <w:pPr>
        <w:numPr>
          <w:ilvl w:val="0"/>
          <w:numId w:val="1"/>
        </w:numPr>
        <w:spacing w:before="100" w:beforeAutospacing="1" w:after="100" w:afterAutospacing="1"/>
        <w:jc w:val="both"/>
        <w:divId w:val="754014980"/>
        <w:rPr>
          <w:color w:val="550000"/>
        </w:rPr>
      </w:pPr>
      <w:r>
        <w:rPr>
          <w:i/>
          <w:iCs/>
          <w:color w:val="550000"/>
        </w:rPr>
        <w:t xml:space="preserve">Анкин Л.М., Левицкий В.Б., Голдис В.Л. // Ортопед. травматол. и протезирование. — 1990. — № 2. —С. 53_54. </w:t>
      </w:r>
    </w:p>
    <w:p w:rsidR="003F0B2A" w:rsidRDefault="00D738C9">
      <w:pPr>
        <w:numPr>
          <w:ilvl w:val="0"/>
          <w:numId w:val="1"/>
        </w:numPr>
        <w:spacing w:before="100" w:beforeAutospacing="1" w:after="100" w:afterAutospacing="1"/>
        <w:jc w:val="both"/>
        <w:divId w:val="754014980"/>
        <w:rPr>
          <w:color w:val="550000"/>
        </w:rPr>
      </w:pPr>
      <w:r>
        <w:rPr>
          <w:i/>
          <w:iCs/>
          <w:color w:val="550000"/>
        </w:rPr>
        <w:t xml:space="preserve">Войтович А.В., Шубняков И.И., Аболин А.Б., Парфеев С.Г. // Травматол. и ортопед. России. — 1996. — № 3.—С. 32_33. </w:t>
      </w:r>
    </w:p>
    <w:p w:rsidR="003F0B2A" w:rsidRDefault="00D738C9">
      <w:pPr>
        <w:numPr>
          <w:ilvl w:val="0"/>
          <w:numId w:val="1"/>
        </w:numPr>
        <w:spacing w:before="100" w:beforeAutospacing="1" w:after="100" w:afterAutospacing="1"/>
        <w:jc w:val="both"/>
        <w:divId w:val="754014980"/>
        <w:rPr>
          <w:color w:val="550000"/>
        </w:rPr>
      </w:pPr>
      <w:r>
        <w:rPr>
          <w:i/>
          <w:iCs/>
          <w:color w:val="550000"/>
        </w:rPr>
        <w:t xml:space="preserve">Малыгина М.А. Лечение вертельных переломов бедренной кости у больных пожилого и старческого возраста эластичными гвоздями: Дис. ... …канд. мед. наук. — М., 1991. — 182 с. </w:t>
      </w:r>
    </w:p>
    <w:p w:rsidR="003F0B2A" w:rsidRDefault="00D738C9">
      <w:pPr>
        <w:numPr>
          <w:ilvl w:val="0"/>
          <w:numId w:val="1"/>
        </w:numPr>
        <w:spacing w:before="100" w:beforeAutospacing="1" w:after="100" w:afterAutospacing="1"/>
        <w:jc w:val="both"/>
        <w:divId w:val="754014980"/>
        <w:rPr>
          <w:color w:val="550000"/>
        </w:rPr>
      </w:pPr>
      <w:r>
        <w:rPr>
          <w:i/>
          <w:iCs/>
          <w:color w:val="550000"/>
        </w:rPr>
        <w:t xml:space="preserve">Манингер Й., Казар Д. // Ортопед. травматол. — 1987. — № 4. — С. 35_37. </w:t>
      </w:r>
    </w:p>
    <w:p w:rsidR="003F0B2A" w:rsidRDefault="00D738C9">
      <w:pPr>
        <w:numPr>
          <w:ilvl w:val="0"/>
          <w:numId w:val="1"/>
        </w:numPr>
        <w:spacing w:before="100" w:beforeAutospacing="1" w:after="100" w:afterAutospacing="1"/>
        <w:jc w:val="both"/>
        <w:divId w:val="754014980"/>
        <w:rPr>
          <w:color w:val="550000"/>
        </w:rPr>
      </w:pPr>
      <w:r>
        <w:rPr>
          <w:i/>
          <w:iCs/>
          <w:color w:val="550000"/>
        </w:rPr>
        <w:t xml:space="preserve">Мюллер М.Е., Альговер М., Шнейдер Р., Виллингер Х. // Руководство по внутреннему остеосинтезу. Springer-Verlag, 1996. — С. 270_271. </w:t>
      </w:r>
    </w:p>
    <w:p w:rsidR="003F0B2A" w:rsidRDefault="00D738C9">
      <w:pPr>
        <w:numPr>
          <w:ilvl w:val="0"/>
          <w:numId w:val="1"/>
        </w:numPr>
        <w:spacing w:before="100" w:beforeAutospacing="1" w:after="100" w:afterAutospacing="1"/>
        <w:jc w:val="both"/>
        <w:divId w:val="754014980"/>
        <w:rPr>
          <w:color w:val="550000"/>
        </w:rPr>
      </w:pPr>
      <w:r>
        <w:rPr>
          <w:i/>
          <w:iCs/>
          <w:color w:val="550000"/>
        </w:rPr>
        <w:t xml:space="preserve">Сергеев С.В. Выбор оптимальных методов оперативного лечения переломов шейки бедренной кости: Автореф. дис. …... д-ра мед. наук. — М., 1996. — 33 с. </w:t>
      </w:r>
    </w:p>
    <w:p w:rsidR="003F0B2A" w:rsidRDefault="00D738C9">
      <w:pPr>
        <w:numPr>
          <w:ilvl w:val="0"/>
          <w:numId w:val="1"/>
        </w:numPr>
        <w:spacing w:before="100" w:beforeAutospacing="1" w:after="100" w:afterAutospacing="1"/>
        <w:jc w:val="both"/>
        <w:divId w:val="754014980"/>
        <w:rPr>
          <w:color w:val="550000"/>
        </w:rPr>
      </w:pPr>
      <w:r>
        <w:rPr>
          <w:i/>
          <w:iCs/>
          <w:color w:val="550000"/>
        </w:rPr>
        <w:t xml:space="preserve">Судакова А.П., Судаков Д.Ю. // Ортопед. травматол. — 1991. — № 9. — С. 38_40. </w:t>
      </w:r>
    </w:p>
    <w:p w:rsidR="003F0B2A" w:rsidRDefault="00D738C9">
      <w:pPr>
        <w:numPr>
          <w:ilvl w:val="0"/>
          <w:numId w:val="1"/>
        </w:numPr>
        <w:spacing w:before="100" w:beforeAutospacing="1" w:after="100" w:afterAutospacing="1"/>
        <w:jc w:val="both"/>
        <w:divId w:val="754014980"/>
        <w:rPr>
          <w:color w:val="550000"/>
        </w:rPr>
      </w:pPr>
      <w:r>
        <w:rPr>
          <w:i/>
          <w:iCs/>
          <w:color w:val="550000"/>
        </w:rPr>
        <w:t xml:space="preserve">Шестерня Н.А. Современные методы лечения и анализ исходов внутри-и околосуставных переломов длинных трубчатых костей: Автореф. дис. ... …д-ра мед. наук. — М., 1992. — 36 с. </w:t>
      </w:r>
    </w:p>
    <w:p w:rsidR="003F0B2A" w:rsidRPr="00D738C9" w:rsidRDefault="00D738C9">
      <w:pPr>
        <w:pStyle w:val="a3"/>
        <w:divId w:val="754014980"/>
      </w:pPr>
      <w:r>
        <w:rPr>
          <w:u w:val="single"/>
        </w:rPr>
        <w:t> </w:t>
      </w:r>
      <w:bookmarkStart w:id="0" w:name="_GoBack"/>
      <w:bookmarkEnd w:id="0"/>
    </w:p>
    <w:sectPr w:rsidR="003F0B2A" w:rsidRPr="00D73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B95"/>
    <w:multiLevelType w:val="multilevel"/>
    <w:tmpl w:val="9934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8C9"/>
    <w:rsid w:val="0025684A"/>
    <w:rsid w:val="003F0B2A"/>
    <w:rsid w:val="00D7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23C1D4BC-5995-4ECB-B944-3F8E339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4728</Words>
  <Characters>26954</Characters>
  <Application>Microsoft Office Word</Application>
  <DocSecurity>0</DocSecurity>
  <Lines>224</Lines>
  <Paragraphs>63</Paragraphs>
  <ScaleCrop>false</ScaleCrop>
  <Company>diakov.net</Company>
  <LinksUpToDate>false</LinksUpToDate>
  <CharactersWithSpaces>31619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методы лечения переломов длинных трубчатых костей</dc:title>
  <dc:subject/>
  <dc:creator>Irina</dc:creator>
  <cp:keywords/>
  <dc:description/>
  <cp:lastModifiedBy>Irina</cp:lastModifiedBy>
  <cp:revision>2</cp:revision>
  <dcterms:created xsi:type="dcterms:W3CDTF">2014-09-07T13:06:00Z</dcterms:created>
  <dcterms:modified xsi:type="dcterms:W3CDTF">2014-09-07T13:06:00Z</dcterms:modified>
</cp:coreProperties>
</file>