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F6" w:rsidRPr="003361D9" w:rsidRDefault="009D31F6" w:rsidP="009D31F6">
      <w:pPr>
        <w:spacing w:before="120"/>
        <w:jc w:val="center"/>
        <w:rPr>
          <w:b/>
          <w:bCs/>
          <w:sz w:val="32"/>
          <w:szCs w:val="32"/>
        </w:rPr>
      </w:pPr>
      <w:r w:rsidRPr="003361D9">
        <w:rPr>
          <w:b/>
          <w:bCs/>
          <w:sz w:val="32"/>
          <w:szCs w:val="32"/>
        </w:rPr>
        <w:t>Некоторые рекомендации при печатании текстов служебных документов.</w:t>
      </w:r>
    </w:p>
    <w:p w:rsidR="009D31F6" w:rsidRPr="003361D9" w:rsidRDefault="009D31F6" w:rsidP="009D31F6">
      <w:pPr>
        <w:spacing w:before="120"/>
        <w:ind w:firstLine="567"/>
        <w:jc w:val="both"/>
        <w:rPr>
          <w:sz w:val="28"/>
          <w:szCs w:val="28"/>
        </w:rPr>
      </w:pPr>
      <w:r w:rsidRPr="003361D9">
        <w:rPr>
          <w:sz w:val="28"/>
          <w:szCs w:val="28"/>
        </w:rPr>
        <w:t>Кирсанова М.В.</w:t>
      </w:r>
    </w:p>
    <w:p w:rsidR="009D31F6" w:rsidRPr="003361D9" w:rsidRDefault="009D31F6" w:rsidP="009D31F6">
      <w:pPr>
        <w:spacing w:before="120"/>
        <w:jc w:val="center"/>
        <w:rPr>
          <w:b/>
          <w:bCs/>
          <w:sz w:val="28"/>
          <w:szCs w:val="28"/>
        </w:rPr>
      </w:pPr>
      <w:r w:rsidRPr="003361D9">
        <w:rPr>
          <w:b/>
          <w:bCs/>
          <w:sz w:val="28"/>
          <w:szCs w:val="28"/>
        </w:rPr>
        <w:t>1. Особенности официально-делового стиля.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Как целостная структура любой документ должен отвечать определенным требованиям. Это: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краткость и компактность изложения официального материала;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точность и определенность формулировок, однозначность и единообразие терминов;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последовательность использования технических приемов правотворчества.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Официально-деловому стилю присуще использование слов только в тех значениях, которые признаются нормой общелитературного словоупотребления, а также в значениях, традиционных именно для деловых документов, которые не нарушают их стилистического единообразия и соответствуют общей тенденции стандартизации делового языка.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Отбор лексики предполагает внимательное отношение к лексическому значению слов. Незнание лексического значения отдельных слов приводит к ошибкам типа: «необходимо улучшить зоо техническое и ветеринарное обслуживание животноводства» (можно улучшить обслуживание скота, но не животноводства), «удешевить себестоимость» (удешевить можно товары, продукты, но не себестоимость; возможный вариант: «снизить себестоимость»).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Не допускается использование неологизмов, даже образованных по традиционным моделям, например «конструкторат», «переорганизация», а также слов, относящихся к разговорной лексике, например «секретарша», «лаборантка».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Если неправильно выбрать слово из ряда однокоренных, различающихся значением, можно исказить смысл. Например, нередко путают слова «представить» и «предоставить». Представить — 1) предъявить, сообщить («представить список сотрудников», «представить доказательства»); 2) познакомить с кем-либо («представить коллективу нового работника»); 3) ходатайствовать (о повышении, о награде) («представить к очередному званию», «представить к ордену»); 4) составить, обнаружить («представить (собой) значительную ценность»); 5) мысленно вообразить («представить (себе) картину боя»); 6) изобразить, показать («представить в смешном виде»). Предоставить — 1) отдать в чье-либо распоряжение, пользование («предоставить квартиру», «предоставить транспортные средства»); 2) дать право, возможность сделать, осуществить что-либо («предоставить отпуск», «предоставить слово»); 3) разрешить действовать самостоятельно или оставить без присмотра («предоставить самому себе», «предоставить дело случаю»).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Неумение выразить мысль точно и лаконично приводит к следующим ошибкам: «в апреле месяце» (апрель — именно месяц, и ничто иное), «информационное сообщение» (любое сообщение содержит информацию) и т.д. Затрудняют восприятие текста повторы типа: «польза от использования», «следует учитывать следующие факты», «данное явление полностью проявляется в условиях...»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Для текстов официальных документов не характерно использование образной фразеологии, оборотов со сниженной стилистической окраской.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Стандартные обороты речи типа: «в связи с распоряжением правительства», «в порядке оказания материальной помощи», «в связи с тяжелым положением, сложившимся...» — постоянно воспроизводятся в служебных документах, приобретают устойчивый характер и по своей роли сближаются с фразеологизмами. В языке документов они выполняют ту же функцию, что и устойчивые сочетания типа: «принять во внимание», «довести до сведения». Но если нормы нарушаются из-за незнания особенностей употребления того или иного фразеологизма, возникают ошибки. Например, глагол «допускать» («допустить») в .значении «сделать что-либо, совершить» принято сочетать со словами «нарушение», «ошибка», «просчет» и некоторыми другими именами существительными, характеризующими отрицательные явления, но не называющими конкретного поступка: «допустить грубость, чванство». Неправильны сочетания типа: «допускать дефекты (брак, поломки, хищения)», в которых существительные указывают на результат ошибок, просчетов и т.д.</w:t>
      </w:r>
    </w:p>
    <w:p w:rsidR="009D31F6" w:rsidRPr="003361D9" w:rsidRDefault="009D31F6" w:rsidP="009D31F6">
      <w:pPr>
        <w:spacing w:before="120"/>
        <w:jc w:val="center"/>
        <w:rPr>
          <w:b/>
          <w:bCs/>
          <w:sz w:val="28"/>
          <w:szCs w:val="28"/>
        </w:rPr>
      </w:pPr>
      <w:r w:rsidRPr="003361D9">
        <w:rPr>
          <w:b/>
          <w:bCs/>
          <w:sz w:val="28"/>
          <w:szCs w:val="28"/>
        </w:rPr>
        <w:t>2. Употребление прописных и строчных букв.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В названиях органов при Президенте Российской Федерации с прописной буквы пишутся первое слово и имена собственные. Например: Федеральное агентство правительственной связи и информации при Президенте Российской Федерации.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Все слова с прописной буквы пишутся в следующих названиях: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Правительство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Коллегия/ Правительства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Совет Министров Республики Башкортостан и т.п.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В названиях министерств, государственных комитетов и других центральных органов государственного управления Российской Федерации и республик в ее составе с прописной буквы пишется первое слово. Если в словосочетание входят имена собственные или названия других учреждений, эти имена собственные и названия пишутся так же, как при самостоятельном употреблении. Во множественном числе или не в качестве имени собственного названия указанного типа пишутся со строчной буквы: «правительство», «министерство», «республиканские министерства», «государственный комитет», «государственные комитеты».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Названия органов судебной власти принято писать так: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Конституционный Суд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Верховный Суд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Высший Арбитражный Суд Российской Федерации.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Аналогичным образом пишутся названия соответствующих органов и должностей в республиках в составе Российской Федерации: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Верховный Суд Республики Башкортостан;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Высший Арбитражный Суд Удмуртской Республики.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Во всех остальных случаях слова «суд», «судья», «государственный арбитр» пишутся со строчной буквы.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В названиях актов высших органов государственной власти и управления Российской Федерации прописные буквы употребляются следующим образом: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Конституция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Конституция (но: конституции республик);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Декларация прав и свобод человека и гражданина;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Федеративный договор;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Основы законодательства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Закон Российской Федерации «О прокуратуре Российской Федерации» (но: законы);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Кодекс Российской Федерации об административных правонарушениях;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Указ Президента Российской Федерации (но: указы Президента Российской Федерации);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распоряжение Президента Российской Федерации; постановление Правительства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Распоряжение Правительства Российской Федерации.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С прописной буквы пишутся названия должностей в системе государственной власти и управления Российской Федерации: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Президент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Руководитель Администрации Президента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Советник Президента Российской Федерации; Председатель Правительства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Первый заместитель Председателя Правительства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Заместитель Председателя Правительства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Председатель Конституционного Суда Российской Федерации; Председатель Верховного Суда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Председатель Высшего Арбитражного Суда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Министр финансов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Председатель Государственного комитета Российской Федерации по вопросам архитектуры и строительства;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Руководитель Аппарата Правительства Российской Федерации.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Аналогично пишутся названия должностей в системе представительной, исполнительной и судебной власти субъектов Российской Федерации.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Со строчной буквы пишутся названия следующих должностей: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начальник Государственно-правового управления Президента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начальник Контрольного управления Администрации Президента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генеральный директор Федерального агентства правительственной связи и информации при Президенте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первый заместитель Министра внутренних дел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заместитель Министра здравоохранения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заместитель Председателя Государственного комитета Российской Федерации по управлению государственным имуществом;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председатель Комитета Российской Федерации по геологии и использованию недр;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генеральный директор Российского космического агентства;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глава администрации Красноярского края;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губернатор Сахалинской области;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мэр Санкт-Петербурга;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премьер правительства Москвы;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председатель Военной коллегии Верховного Суда Российской Федерации;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член коллегии Генеральной прокуратуры.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Названия должностей руководителей общественных организаций пишутся со строчной буквы: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председатель Федерации независимых профессиональных союзов России;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президент Союза арендаторов и предпринимателей России.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С прописной буквы пишутся такие звания, как Герой Российской Федерации. Почетные звания Российской Федерации пишутся в кавычках и с прописной буквы, в других случаях почетные звания пишутся без кавычек и со строчной буквы. Например: «установить почетное звание "Народный артист Российской Федерации"», «присвоить почетное звание "Народный художник Российской Федерации"» (но: «наградить народного артиста Российской Федерации»).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Воинские звания, ученые степени и звания пишутся со строчной буквы: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маршал артиллерии (но: Главный маршал авиации);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генерал армии;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адмирал;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академик;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действительный член Российской академии наук;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доктор технических наук; ,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член-корреспондент Российской академии наук;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лауреат Государственной премии.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Существуют так называемые условные имена собственные. В особом стилистическом употреблении с прописной буквы пишутся слова «Родина», «Отчизна», «Человек» и др.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Со строчной буквы пишется первое слово в следующих словосочетаниях: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государственная граница Российской Федерации; государственная награда Российской Федерации. Слово «Государственный» пишется с прописной буквы в следующих словосочетаниях: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Государственный герб Российской Федерации; Государственный гимн Российской Федерации; Государственный флаг Российской Федерации; Государственная программа...</w:t>
      </w:r>
    </w:p>
    <w:p w:rsidR="009D31F6" w:rsidRPr="003361D9" w:rsidRDefault="009D31F6" w:rsidP="009D31F6">
      <w:pPr>
        <w:spacing w:before="120"/>
        <w:jc w:val="center"/>
        <w:rPr>
          <w:b/>
          <w:bCs/>
          <w:sz w:val="28"/>
          <w:szCs w:val="28"/>
        </w:rPr>
      </w:pPr>
      <w:r w:rsidRPr="003361D9">
        <w:rPr>
          <w:b/>
          <w:bCs/>
          <w:sz w:val="28"/>
          <w:szCs w:val="28"/>
        </w:rPr>
        <w:t>3. Наиболее употребляемые сокращения слов.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Все сокращения слов и наименований должны быть обще-принятыми. Например, сокращенно записываются название единиц измерения (при цифрах):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ампер - А метр - м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атмосфера – атм миллиметр - мм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гектар – га секунда - с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грамм – г тонна - т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килограмм – кг центнер – ц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Существуют и другие общепринятые сокращения: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год, годы – г. , гг. (при цифрах) область – обл.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город – г. поселок – пос.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дом – д. прочее – пр.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другие – др. пункт – п.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и так далее – и т.д. район – р-н (при названии)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и тому подобное – и т.п. рубль – р., руб.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железнодорожный – ж.д. село – с. (при названии)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копейка – к., коп. смотри – см.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миллиард – млрд то есть – т.е.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 xml:space="preserve">миллион – млн тысяча – тыс. 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Официально узаконено множество сокращенных наименований учреждений, организаций. Некоторые из них по первым буквам полного наименования (буквенные аббревиатуры), например МГУ (Московский государственный университет); по слоговому принципу, например Минздрав (Министерство здравоохранения); по смешанному принципу, например Гипрохолод (Государственный институт по проектированию холодильников, фабрик мороженого, заводов сухого и водного льда и жидкой углекислоты). При этом буквенные аббревиатуры, читаемые по слогам, склоняются как обычные слова. Исключение составляют слово ГЭС и подобные, которые не склоняются.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Сокращенная запись слов полностью отвечает стремлению уместить максимальное количество информации в минимальном объеме текста. Но сокращенные написания должны быть понятны читающему, например сокращения «бук.», «бух.» известны только специалистам («бук.» — буксир, «бух.» — бухта). Однако документ, в котором употреблено слово в сокращенном виде, может быть предназначен для очень широкого круга лиц. В этом случае сокращение должно быть заменено полным написанием. Необходимо учитывать и то, что насыщенность текста сокращениями снижает официальный тон документа.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Написание сокращений должно быть унифицировано. Недопустимо, например, в одном тексте сокращать слово «район» и «р.», и «р-н». Нельзя сокращать обозначения единиц физических величин, если они употребляются без цифр. Исключение составляют единицы физических величин в таблицах и в расшифровках буквенных обозначений, входящих в формулы.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В официальных текстах не должно быть разнобоя в написании имен, географических названий, терминов, должностей, учреждений и т.д. Так, если однажды фамилия написана с двумя инициалами, например «Иванов В.В.» или «В.В.Иванов», она и в дальнейшем Должна писаться так же.</w:t>
      </w:r>
    </w:p>
    <w:p w:rsidR="009D31F6" w:rsidRPr="003361D9" w:rsidRDefault="009D31F6" w:rsidP="009D31F6">
      <w:pPr>
        <w:spacing w:before="120"/>
        <w:jc w:val="center"/>
        <w:rPr>
          <w:b/>
          <w:bCs/>
          <w:sz w:val="28"/>
          <w:szCs w:val="28"/>
        </w:rPr>
      </w:pPr>
      <w:r w:rsidRPr="003361D9">
        <w:rPr>
          <w:b/>
          <w:bCs/>
          <w:sz w:val="28"/>
          <w:szCs w:val="28"/>
        </w:rPr>
        <w:t>4. Оформление дат и чисел в документах.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Даты и календарные сроки в тексте проектов решений рекомендуется писать в одной строке таким образом: 15 мая 1993 г., в мае 1993 г., но: за 8 месяцев 1993 года, в 1993 году, план на 1993 год, с 1988 по 1995 год, в 1992 — 1993 годах; в первом полугодии 1991 г., но: в I квартале 1993 г.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В названиях праздников и знаменательных дат с прописной буквы пишутся первое число и имена собственные: Восьмое марта, Новый год, День металлурга, День российской печати, Рождество Христово, но: День Победы. Если начальное порядковое числительное в таком названии написано цифрой, с прописной буквы пишется следующее за ним слово. Порядковое числительное при этом не имеет наращения: 1 Мая, 8 Марта.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Порядковое числительное пишется словами и со строчной буквы в словосочетании типа: «представители Российской Федерации на семьдесят первом заседании Генеральной Ассамблеи ООН».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Порядковые числительные, обозначаемые арабскими цифрами, пишутся с наращением: 8-й ряд, 80-е годы. Порядковые числительные, обозначаемые римскими цифрами, пишутся без наращения: рабочие III разряда, II очередь строительства, специалист I категории.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Денежные выражения, обозначающие суммы более одной тысячи, в тексте проекта решения рекомендуется писать цифрами и словами: 5 тыс. рублей, 1 млн рублей. Денежные выражения в рублях следует писать так: 108 руб.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Названия единиц измерения в текстах указов, постановлений и распоряжений рекомендуется писать следующим образом: 5 тыс. метров, 16 тонн, 120 кв. метров, 60 куб. метров, 20 млн тонн; в приложениях — сокращенно: 5 тыс. м, 120 кв. м, 60 куб. м, 20 млн т.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Существительное после дробного числа согласуется с дробной его частью и ставится в родительном падеже единственного числа: 28,5 метра, 28,5 кв. метра, но: 28,5 тыс. метров.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При обозначении количества предметов, а также количества людей не употребляются слова «штук», «человек»: 10 автомобилей, 50 рабочих, а не 50 человек рабочих. Но: 100 голов скота (птицы). Сложные существительные и прилагательные, имеющие в своем составе числительные, пишутся так: 150-летие, 3-месячный, 25-процентный, 3-дневный, 1-, 2- и 3-секционный.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Необходимо помнить, что округление числовых значений величий до первого, второго, третьего и т.д. десятичного знака для различных типоразмеров, видов, марок продукции одного названия, как правило, должно быть одинаковым.</w:t>
      </w:r>
    </w:p>
    <w:p w:rsidR="009D31F6" w:rsidRPr="00BB4353" w:rsidRDefault="009D31F6" w:rsidP="009D31F6">
      <w:pPr>
        <w:spacing w:before="120"/>
        <w:ind w:firstLine="567"/>
        <w:jc w:val="both"/>
      </w:pPr>
      <w:r w:rsidRPr="00BB4353">
        <w:t>Недопустимо использовать в тексте математический знак минус перед отрицательными значениями величин. Знак минус следует заменять словом «минус». Нельзя употреблять знаки номера и процента без цифр.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1F6"/>
    <w:rsid w:val="00002B5A"/>
    <w:rsid w:val="000C53C3"/>
    <w:rsid w:val="000E703C"/>
    <w:rsid w:val="003361D9"/>
    <w:rsid w:val="00616072"/>
    <w:rsid w:val="006A5004"/>
    <w:rsid w:val="00710178"/>
    <w:rsid w:val="008B35EE"/>
    <w:rsid w:val="00905CC1"/>
    <w:rsid w:val="009D31F6"/>
    <w:rsid w:val="00B42C45"/>
    <w:rsid w:val="00B47B6A"/>
    <w:rsid w:val="00BB4353"/>
    <w:rsid w:val="00B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4FE27A-C7F5-4604-85D8-B0AFE9B5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D3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рекомендации при печатании текстов служебных документов</vt:lpstr>
    </vt:vector>
  </TitlesOfParts>
  <Company>Home</Company>
  <LinksUpToDate>false</LinksUpToDate>
  <CharactersWithSpaces>14500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рекомендации при печатании текстов служебных документов</dc:title>
  <dc:subject/>
  <dc:creator>User</dc:creator>
  <cp:keywords/>
  <dc:description/>
  <cp:lastModifiedBy>admin</cp:lastModifiedBy>
  <cp:revision>2</cp:revision>
  <dcterms:created xsi:type="dcterms:W3CDTF">2014-02-15T06:29:00Z</dcterms:created>
  <dcterms:modified xsi:type="dcterms:W3CDTF">2014-02-15T06:29:00Z</dcterms:modified>
</cp:coreProperties>
</file>