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27" w:rsidRPr="004F1B27" w:rsidRDefault="004F1B27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F1B27" w:rsidRPr="004F1B27" w:rsidRDefault="004F1B27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F1B27" w:rsidRPr="004F1B27" w:rsidRDefault="004F1B27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F1B27" w:rsidRPr="004F1B27" w:rsidRDefault="004F1B27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F1B27" w:rsidRPr="004F1B27" w:rsidRDefault="004F1B27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F1B27" w:rsidRPr="004F1B27" w:rsidRDefault="004F1B27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F1B27" w:rsidRPr="004F1B27" w:rsidRDefault="004F1B27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F1B27" w:rsidRPr="004F1B27" w:rsidRDefault="004F1B27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F1B27" w:rsidRPr="004F1B27" w:rsidRDefault="004F1B27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4F1B27" w:rsidRPr="004F1B27" w:rsidRDefault="004F1B27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Реферат</w:t>
      </w:r>
    </w:p>
    <w:p w:rsidR="004F1B27" w:rsidRPr="004F1B27" w:rsidRDefault="004F1B27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На тему:</w:t>
      </w: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Некоторые </w:t>
      </w:r>
      <w:r w:rsidR="00576F8B" w:rsidRPr="004F1B2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вопросы интеграции</w:t>
      </w:r>
    </w:p>
    <w:p w:rsidR="00C36391" w:rsidRPr="004F1B27" w:rsidRDefault="004F1B27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  <w:r w:rsidR="00C36391" w:rsidRPr="004F1B27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Западная Европа </w:t>
      </w:r>
      <w:r w:rsidR="00C36391" w:rsidRPr="004F1B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C36391" w:rsidRPr="004F1B2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один из трех центров мировой экономики</w:t>
      </w: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В системе мировой экономики Западная Европа — один из трех «центров силы», которая наряду с США, Японией объединяет около двух десятков государств с развитой рыночной экономикой. На долю стран Западной Европы приходится почти треть мирового промышленного производства и научно-технического потенциала, более четверти совокупного мирового национального дохода и одна пятая часть патентного фонда.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Западная Европа почти не уступает ведущим державам по технико-экономическому уровню развития традиционных базовых отраслей (машиностроение и металлообработка, химическая промышленность), однако пока еще отстает в новейших направлениях НИОКР — микроэлектроника, робототехника, биотехнология и т.д.</w:t>
      </w:r>
    </w:p>
    <w:p w:rsidR="004D02DD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Отраслями европейской экономики обеспечивающей ее глобальную конкурентоспособность являются: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3F3E7B" w:rsidRPr="004F1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B27">
        <w:rPr>
          <w:rFonts w:ascii="Times New Roman" w:hAnsi="Times New Roman" w:cs="Times New Roman"/>
          <w:color w:val="000000"/>
          <w:sz w:val="28"/>
          <w:szCs w:val="28"/>
        </w:rPr>
        <w:t>традиционные:</w:t>
      </w:r>
    </w:p>
    <w:p w:rsidR="00C36391" w:rsidRPr="004F1B27" w:rsidRDefault="00C36391" w:rsidP="00E37257">
      <w:pPr>
        <w:numPr>
          <w:ilvl w:val="0"/>
          <w:numId w:val="1"/>
        </w:numPr>
        <w:shd w:val="clear" w:color="auto" w:fill="FFFFFF"/>
        <w:tabs>
          <w:tab w:val="left" w:pos="662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автомобилестроение — Германия, Франция;</w:t>
      </w:r>
    </w:p>
    <w:p w:rsidR="00E37257" w:rsidRPr="004F1B27" w:rsidRDefault="00C36391" w:rsidP="00E37257">
      <w:pPr>
        <w:numPr>
          <w:ilvl w:val="0"/>
          <w:numId w:val="1"/>
        </w:numPr>
        <w:shd w:val="clear" w:color="auto" w:fill="FFFFFF"/>
        <w:tabs>
          <w:tab w:val="left" w:pos="662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авиационная промышленность — Великобритания, Германия,Франция;</w:t>
      </w:r>
    </w:p>
    <w:p w:rsidR="00E37257" w:rsidRPr="004F1B27" w:rsidRDefault="00C36391" w:rsidP="00E37257">
      <w:pPr>
        <w:numPr>
          <w:ilvl w:val="0"/>
          <w:numId w:val="1"/>
        </w:numPr>
        <w:shd w:val="clear" w:color="auto" w:fill="FFFFFF"/>
        <w:tabs>
          <w:tab w:val="left" w:pos="662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текстильная промышленность — Италия, Франция.</w:t>
      </w:r>
    </w:p>
    <w:p w:rsidR="00E37257" w:rsidRPr="004F1B27" w:rsidRDefault="004D02DD" w:rsidP="004D02DD">
      <w:pPr>
        <w:shd w:val="clear" w:color="auto" w:fill="FFFFFF"/>
        <w:tabs>
          <w:tab w:val="left" w:pos="662"/>
          <w:tab w:val="left" w:pos="1080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C36391" w:rsidRPr="004F1B27">
        <w:rPr>
          <w:rFonts w:ascii="Times New Roman" w:hAnsi="Times New Roman" w:cs="Times New Roman"/>
          <w:color w:val="000000"/>
          <w:sz w:val="28"/>
          <w:szCs w:val="28"/>
        </w:rPr>
        <w:t>новые:</w:t>
      </w:r>
    </w:p>
    <w:p w:rsidR="00C36391" w:rsidRPr="004F1B27" w:rsidRDefault="00C36391" w:rsidP="00E37257">
      <w:pPr>
        <w:numPr>
          <w:ilvl w:val="0"/>
          <w:numId w:val="1"/>
        </w:numPr>
        <w:shd w:val="clear" w:color="auto" w:fill="FFFFFF"/>
        <w:tabs>
          <w:tab w:val="left" w:pos="662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программное обеспечение — Германия, Бельгия, Нидерланды; </w:t>
      </w:r>
      <w:r w:rsidR="00154D0F" w:rsidRPr="004F1B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1B27">
        <w:rPr>
          <w:rFonts w:ascii="Times New Roman" w:hAnsi="Times New Roman" w:cs="Times New Roman"/>
          <w:color w:val="000000"/>
          <w:sz w:val="28"/>
          <w:szCs w:val="28"/>
        </w:rPr>
        <w:t xml:space="preserve"> цифровое телевидение — Франция, Германия;</w:t>
      </w:r>
    </w:p>
    <w:p w:rsidR="00C36391" w:rsidRPr="004F1B27" w:rsidRDefault="00C36391" w:rsidP="00E37257">
      <w:pPr>
        <w:shd w:val="clear" w:color="auto" w:fill="FFFFFF"/>
        <w:tabs>
          <w:tab w:val="left" w:pos="706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4F1B27">
        <w:rPr>
          <w:rFonts w:ascii="Times New Roman" w:hAnsi="Times New Roman" w:cs="Times New Roman"/>
          <w:color w:val="000000"/>
          <w:sz w:val="28"/>
          <w:szCs w:val="28"/>
        </w:rPr>
        <w:tab/>
        <w:t>мобильная связь — Швеция, Финляндия, Великобритания.</w:t>
      </w:r>
      <w:r w:rsidR="00E37257" w:rsidRPr="004F1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B27">
        <w:rPr>
          <w:rFonts w:ascii="Times New Roman" w:hAnsi="Times New Roman" w:cs="Times New Roman"/>
          <w:color w:val="000000"/>
          <w:sz w:val="28"/>
          <w:szCs w:val="28"/>
        </w:rPr>
        <w:t>При этом основная экономическая мощь всего региона приходится на четыре крупные высокоразвитые государства — Германию, Францию, Великобританию, Италию, где сосредоточено более 50% населения и около 70% совокупного ВВП региона. Они определяют место региона в современном мировом разделении труда, общие тенденции социально-экономического развития и роста.</w:t>
      </w:r>
    </w:p>
    <w:p w:rsidR="00154D0F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 xml:space="preserve">Особое место занимают малые страны Западной Европы по объемам ВВП, характеру специализации и другим параметрам. Наиболее развитые — это Бельгия, Нидерланды, Швеция, Испания. На их долю приходится 20% ВВП региона. 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Вторая группа</w:t>
      </w:r>
      <w:r w:rsidR="00154D0F" w:rsidRPr="004F1B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F1B27">
        <w:rPr>
          <w:rFonts w:ascii="Times New Roman" w:hAnsi="Times New Roman" w:cs="Times New Roman"/>
          <w:color w:val="000000"/>
          <w:sz w:val="28"/>
          <w:szCs w:val="28"/>
        </w:rPr>
        <w:t>В-третьих, в рамках этой концепции стало меняться, и довольно радикально, отношение к использованию силы в международных отношениях и готовность ее использовать. Исчез вынужденный контроль над собственными же планами и амбициями, существовавший в годы холодной войны в связи с опасностью противодействия другой стороны или эскалацией цены применения силы до неприемлемого уровня.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Глобальная мировая экономика становится уже не просто внешней сферой мирового хозяйства, но и приобретает черты системы. Она основывается на технико-экономическом базисе интернационализированного производства, общих согласованных между многими странами торговых и валютно-финансовых режимах.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Теперь ясно, что, начиная с выхода во внешний мир в 1942 году, США фактически ни кого не сдерживают, а следуют простой решительной и целеустремленной стратегии, названной «мировое преобладание». Именно тогда США выступили с тезисами «свободы торговли», «открытости экономики», прежде всего для навязывания другим странам своих норм поведения на международном рынке. С позиций ведущей торговой державы мира, вышедшей из второй мировой войны победительницей и еще более богатой, предлагались рецепты нового экономического порядка. Такая «свобода торговли», «открытость экономики» представляла собой стремление к безудержной экспансии американских корпораций. Глобализация укрепляет позиции в первую очередь индустриально развитых стран, дает им, дополнительные преимущества.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Конечно, с одной стороны, США имеют возможность оказывать на глобализацию наибольшее влияние, но с другой — они не могут распространить свою модель на все страны хотя бы потому, что многие страны имеют свой менталитет, основанный на особых традициях и вере (не христианской). Значит, для США выгодно направить глобализацию по содержанию и форме в русло своих национальных интересов, т. е. использовать ее для поддержания и усиления национальной конкурентоспособности. Но ведь и другие страны также намерены в ходе глобализации выиграть, а не проиграть. Вот почему глобализация становится одним из главных направлений конкурентной борьбы В системе мировой экономики Западная Европа — один из трех «центров силы», которая наряду с США, Японией объединяет около двух десятков государств с развитой рыночной экономикой. На долю стран Западной Европы приходится почта треть мирового промышленного производства и научно-технического потенциала, более четверти совокупного мирового национального дохода и одна пятая часть патентного фонда.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Западная Европа почти не уступает ведущим державам по технико-экономическому уровню развития традиционных базовых отраслей (машиностроение и металлообработка, химическая промышленность), однако пока еще отстает в новейших направлениях НИОКР — микроэлектроника, робототехника, биотехнология и т.д.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Отраслями европейской экономики обеспечивающей ее глобальную конкурентоспособность являются:</w:t>
      </w:r>
    </w:p>
    <w:p w:rsidR="00C36391" w:rsidRPr="004F1B27" w:rsidRDefault="00C36391" w:rsidP="00E37257">
      <w:pPr>
        <w:shd w:val="clear" w:color="auto" w:fill="FFFFFF"/>
        <w:tabs>
          <w:tab w:val="left" w:pos="389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4F1B27">
        <w:rPr>
          <w:rFonts w:ascii="Times New Roman" w:hAnsi="Times New Roman" w:cs="Times New Roman"/>
          <w:color w:val="000000"/>
          <w:sz w:val="28"/>
          <w:szCs w:val="28"/>
        </w:rPr>
        <w:tab/>
        <w:t>традиционные:</w:t>
      </w:r>
    </w:p>
    <w:p w:rsidR="00C36391" w:rsidRPr="004F1B27" w:rsidRDefault="00C36391" w:rsidP="00E37257">
      <w:pPr>
        <w:numPr>
          <w:ilvl w:val="0"/>
          <w:numId w:val="2"/>
        </w:numPr>
        <w:shd w:val="clear" w:color="auto" w:fill="FFFFFF"/>
        <w:tabs>
          <w:tab w:val="left" w:pos="691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автомобилестроение — Германия, Франция;</w:t>
      </w:r>
    </w:p>
    <w:p w:rsidR="00E37257" w:rsidRPr="004F1B27" w:rsidRDefault="00C36391" w:rsidP="00E37257">
      <w:pPr>
        <w:numPr>
          <w:ilvl w:val="0"/>
          <w:numId w:val="2"/>
        </w:numPr>
        <w:shd w:val="clear" w:color="auto" w:fill="FFFFFF"/>
        <w:tabs>
          <w:tab w:val="left" w:pos="691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авиационная промышленность — Великобритания, Германия,</w:t>
      </w:r>
      <w:r w:rsidR="00483EFE" w:rsidRPr="004F1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B27">
        <w:rPr>
          <w:rFonts w:ascii="Times New Roman" w:hAnsi="Times New Roman" w:cs="Times New Roman"/>
          <w:color w:val="000000"/>
          <w:sz w:val="28"/>
          <w:szCs w:val="28"/>
        </w:rPr>
        <w:t>Франция;</w:t>
      </w:r>
    </w:p>
    <w:p w:rsidR="00C36391" w:rsidRPr="004F1B27" w:rsidRDefault="00C36391" w:rsidP="00E37257">
      <w:pPr>
        <w:numPr>
          <w:ilvl w:val="0"/>
          <w:numId w:val="2"/>
        </w:numPr>
        <w:shd w:val="clear" w:color="auto" w:fill="FFFFFF"/>
        <w:tabs>
          <w:tab w:val="left" w:pos="691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в текстильная промышленность— Италия, Франция.</w:t>
      </w:r>
    </w:p>
    <w:p w:rsidR="00C36391" w:rsidRPr="004F1B27" w:rsidRDefault="00C36391" w:rsidP="00E37257">
      <w:pPr>
        <w:shd w:val="clear" w:color="auto" w:fill="FFFFFF"/>
        <w:tabs>
          <w:tab w:val="left" w:pos="389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4F1B27">
        <w:rPr>
          <w:rFonts w:ascii="Times New Roman" w:hAnsi="Times New Roman" w:cs="Times New Roman"/>
          <w:color w:val="000000"/>
          <w:sz w:val="28"/>
          <w:szCs w:val="28"/>
        </w:rPr>
        <w:tab/>
        <w:t>.новые:</w:t>
      </w:r>
    </w:p>
    <w:p w:rsidR="00C36391" w:rsidRPr="004F1B27" w:rsidRDefault="00C36391" w:rsidP="00E37257">
      <w:pPr>
        <w:numPr>
          <w:ilvl w:val="0"/>
          <w:numId w:val="2"/>
        </w:numPr>
        <w:shd w:val="clear" w:color="auto" w:fill="FFFFFF"/>
        <w:tabs>
          <w:tab w:val="left" w:pos="691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программное обеспечение — Германия, Бельгия, Нидерланды;</w:t>
      </w:r>
    </w:p>
    <w:p w:rsidR="00E37257" w:rsidRPr="004F1B27" w:rsidRDefault="00C36391" w:rsidP="00E37257">
      <w:pPr>
        <w:numPr>
          <w:ilvl w:val="0"/>
          <w:numId w:val="2"/>
        </w:numPr>
        <w:shd w:val="clear" w:color="auto" w:fill="FFFFFF"/>
        <w:tabs>
          <w:tab w:val="left" w:pos="691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цифровое телевидение — Франция, Германия;</w:t>
      </w:r>
    </w:p>
    <w:p w:rsidR="00C36391" w:rsidRPr="004F1B27" w:rsidRDefault="00C36391" w:rsidP="00E37257">
      <w:pPr>
        <w:numPr>
          <w:ilvl w:val="0"/>
          <w:numId w:val="2"/>
        </w:numPr>
        <w:shd w:val="clear" w:color="auto" w:fill="FFFFFF"/>
        <w:tabs>
          <w:tab w:val="left" w:pos="691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в мобильная связь — Швеция, Финляндия, Великобритания.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При этом основная экономическая мощь всего региона приходится на четыре крупные высокоразвитые государства — Германию, Францию, Великобританию, Италию, где сосредоточено более 50% населения и около 70% совокупного ВВП региона. Они определяют место региона в современном мировом разделении труда, общие тенденции социально-экономического развития и роста.</w:t>
      </w:r>
    </w:p>
    <w:p w:rsidR="00953814" w:rsidRPr="004F1B27" w:rsidRDefault="00C36391" w:rsidP="00E37257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Особое место занимают малые страны Западной Европы по объемам ВВП, характеру специализации и другим параметрам. Наиболее развитые— это Бельгия, Нидерланды, Швеция, Испания. На их долю приходится 20% ВВП региона. Вторая группа это Австрия, Дания, Греция и Финляндия, на долю которых приходится более 8% ВВП. Третья группа — Португалия, Ирландия, Люксембург— имеет узкоспециализированную структуру хозяйства</w:t>
      </w:r>
      <w:r w:rsidR="00154D0F" w:rsidRPr="004F1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B27">
        <w:rPr>
          <w:rFonts w:ascii="Times New Roman" w:hAnsi="Times New Roman" w:cs="Times New Roman"/>
          <w:color w:val="000000"/>
          <w:sz w:val="28"/>
          <w:szCs w:val="28"/>
        </w:rPr>
        <w:t>и занимает 2% ВВП.</w:t>
      </w:r>
    </w:p>
    <w:p w:rsidR="00C36391" w:rsidRPr="004F1B27" w:rsidRDefault="00C36391" w:rsidP="00E37257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США как центр глобализации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Процесс глобализации в мировой экономике представляет собой закономерный результат интернационализации производства и капитала. Глобализация в значительной степени предстает как количественный процесс возрастания масштабов, расширения рамок мирохозяйственных связей.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Одним из наиболее крупных и фундаментальных вопросов конца XX в. являются взаимоотношения между США и окружающими</w:t>
      </w:r>
      <w:r w:rsidR="00154D0F" w:rsidRPr="004F1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B27">
        <w:rPr>
          <w:rFonts w:ascii="Times New Roman" w:hAnsi="Times New Roman" w:cs="Times New Roman"/>
          <w:color w:val="000000"/>
          <w:sz w:val="28"/>
          <w:szCs w:val="28"/>
        </w:rPr>
        <w:t>странами.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Учитывая мощь США, их роль в международных отношениях в конце нынешнего столетия, понятно, что в данном случае речь идет о таком сильном влиянии на окружающий мир, которое вряд ли сопоставимо с чем-либо еще. Во-первых, это воздействие последней, оставшейся от эпохи холодной войны сверхдержавы, которая и сейчас ощущает себя таковой и — главное — хочет вести себя как сверхдержава. Во-вторых, это страна, которая давно, фактически со времен своего образования, привыкла ощущать себя «избранной», «особой», «наиболее любимой богом». В-третьих, США'обладают крупнейшей военной силой современности, осуществляя контроль (самостоятельно или через систему союзов) практически над всеми ключевыми регионами мира. Наконец, США задали темп и вектор движения всему современному миру своей этикой, политическим мышлением, технологическими прорывами, а главное — гласным, публичным и обстоятельным разбором собственных достижений и провалов, на чем учатся остальные члены международного сообщества.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Утверждение «США— единственная сверхдержава» позволяет сделать следующие выводы. Во-первых, об основах стабильности современной системы и ее жизнеобеспечении: ее жизнеспособность и деятельность объявляются производными от состояния американских ресурсов, политической воли и интеллекта. Разумеется, это, прежде всего, означает усиление степени ответственности США и их политического механизма.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Во-вторых, выводы из концепции «единственной сверхдержавы» определяют также объем и содержание функций этой державы в современном мире и ответных обязанностей этого мира перед ней. На США и их союзников возлагается ответственность за поддержание общей международной стабильности В-третьих, в рамках этой концепции стало меняться, и довольно радикально, отношение к использованию силы в международных отношениях и готовность ее использовать. Исчез вынужденный контроль над собственными же планами и амбициями, существовавший в годы холодной войны в связи с опасностью противодействия другой стороны или эскалацией цены применения силы до неприемлемого уровня.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Глобальная мировая экономика становится уже не просто внешней сферой мирового хозяйства, но и приобретает черты системы. Она основывается на технико-экономическом базисе интернационализированного производства, общих согласованных между многими странами торговых и валютно-финансовых режимах.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Теперь ясно, что, начиная с выхода во внешний мир в 1942 году, США фактически ни кого не сдерживают, а следуют простой решительной и целеустремленной стратегии, названной «мировое преобладание». Именно тогда США выступили с тезисами «свободы торговли», «открытости экономики», прежде всего для навязывания другим странам своих норм поведения на международном рынке. С позиций ведущей торговой державы мира, вышедшей из второй мировой войны победительницей и еще более богатой, предлагались рецепты нового экономического порядка. Такая «свобода торговли», «открытость экономики» представляла собой стремление к безудержной экспансии американских корпораций. Глобализация укрепляет позиции в первую очередь индустриально развитых стран, дает им, дополнительные преимущества.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Конечно, с одной стороны, США имеют возможность оказывать на глобализацию наибольшее влияние, но с другой — они не могут распространить свою модель на все страны хотя бы потому, что многие страны имеют свой менталитет, основанный на особых традициях и вере (не христианской). Значит, для США выгодно направить глобализацию по содержанию и форме в русло своих национальных интересов, т. е. использовать ее для поддержания и усиления национальной конкурентоспособности. Но ведь и другие страны также намерены в ходе глобализации выиграть, а не проиграть. Вот почему глобализация становится одним из главных направлений конкурентной борьбы.</w:t>
      </w: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Особенности интеграционных процессов в арабских странах</w:t>
      </w: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Проявляют растущий интерес к интеграции, тесному взаимовыгодному сотрудничеству и арабские государства Персидского залива</w:t>
      </w:r>
      <w:r w:rsidR="004D02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F1B27">
        <w:rPr>
          <w:rFonts w:ascii="Times New Roman" w:hAnsi="Times New Roman" w:cs="Times New Roman"/>
          <w:color w:val="000000"/>
          <w:sz w:val="28"/>
          <w:szCs w:val="28"/>
        </w:rPr>
        <w:t xml:space="preserve"> С 1981 года был создан и функционирует поныне Совет по сотрудничеству ряда арабских государств, включающий Саудовскую Аравию, Кувейт, Катар, Бахрейн, Объединенные Арабские Эмираты, Оман, иначе называемых «нефтяной шестеркой».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В настоящее время в странах арабского региона функционирует целый ряд региональных интеграционных соглашений на двусторонней основе. Общей главенствующей организацией для всех арабских государств является ЛИГА арабских стран со штаб-квартирой в Каире. Семь государств Африки (Алжир, Египет, Ливия, Маврикий, Марокко, Сомали, Тунис) являются членами Арабского валютного фонда (АВФ), что, й частности, объясняется их причастностью к мусульманской религии.</w:t>
      </w:r>
    </w:p>
    <w:p w:rsidR="00C36391" w:rsidRPr="004F1B27" w:rsidRDefault="00C36391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Основными задачами АВФ в валютной сфере являются стабилизация обменных курсов валют стран-участниц и создание условий для их взаимной обратимости, устранение в рамках организации валютных ограничений, создание механизма взаимных расчетов, а также единой валюты. Расчетной единицей АВФ является арабский динар.</w:t>
      </w:r>
    </w:p>
    <w:p w:rsidR="00C36391" w:rsidRPr="004F1B27" w:rsidRDefault="00C36391" w:rsidP="00E37257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b/>
          <w:color w:val="000000"/>
          <w:sz w:val="28"/>
          <w:szCs w:val="28"/>
        </w:rPr>
        <w:t>Интеграционные процессы в Африканском регионе</w:t>
      </w: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Если сравнивать африканский регион с другими регионами даже развивающегося мира, то особых успехов в области интеграции в странах Африки нет. Однако африканские страны осознали, что только объединив усилия, они способны занять достойное место в новом миропорядке, который характеризуется экономической глобализацией и формированием новых центров в многополюсном мире.</w:t>
      </w: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Концепция африканского единства зародилась в рамках панафриканского движения задолго до получения странами Африки независимости. В начале 60-х континент разделился на два лагеря: сторонников ускоренной интеграции и создания Соединенных Штатов Африки и тех, кто поддерживал теорию «Африки отечеств» — укрепления государственного суверенитета. Нелегкого компромисса достигли в мае 1963 года, когда была создана ОАЕ. Организация, имевшая только консультативный статус, постоянно сталкивалась с финансовым дефицитом и была фактически не в состоянии наладить процесс всеафриканской интеграции. В отличие от ЕС или АСЕАН, где экономическое и культурное взаимодействие повлек</w:t>
      </w:r>
      <w:r w:rsidR="00E37257" w:rsidRPr="004F1B27">
        <w:rPr>
          <w:rFonts w:ascii="Times New Roman" w:hAnsi="Times New Roman" w:cs="Times New Roman"/>
          <w:color w:val="000000"/>
          <w:sz w:val="28"/>
          <w:szCs w:val="28"/>
        </w:rPr>
        <w:t>ло за собой необходимость инсти</w:t>
      </w:r>
      <w:r w:rsidRPr="004F1B27">
        <w:rPr>
          <w:rFonts w:ascii="Times New Roman" w:hAnsi="Times New Roman" w:cs="Times New Roman"/>
          <w:color w:val="000000"/>
          <w:sz w:val="28"/>
          <w:szCs w:val="28"/>
        </w:rPr>
        <w:t>туционализации и политического диалога, интеграция в Африке идет сверху. Кроме того, здесь нет крупного государства или нескольких государств, которые могли бы стать движущей силой объединения, как Россия в СНГ или Франция и Германия в ЕС. До второй половины 90-х стратегия ОАЕ заключалась в поддержке региональных объединений —таких, как Экономическое сообщество западноафриканских государств (ЭКОВАС) или Сообщество развития Юга Африки (САДК), где немалую роль в качестве лидера может сыграть в данном регионе ЮАР (как сильная и экономически развитая страна). Подписание в 1991 году Договора об Африканском экономическом сообществе (АЭС) создало предпосылки не только для успешного функционирования Общего рынка, но и для более тесного политического сотрудничества.</w:t>
      </w: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Для африканского континента создание полноценного Африканского союза будет означать следующее.</w:t>
      </w: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Во-первых, появятся коллективные органы, которые консенсусом или большинством голосов смогут принимать решения прямого действия, обязательные на территории государств-членов. Прежде всего, это важно для предотвращения и урегулирования конфликтов (Африка — единственная часть света, где число конфликтов неуклонно возрастает). До сих пор страны слепо следовали принципу невмешательства во внутренние дела, для миротворчества не хватало ни средств, ни политической воли. А всякий конфликт приводил к тому, что между членами ОАЕ, поддерживающими разные стороны, возникали глубокие противоречия.</w:t>
      </w: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Во-вторых, перспективы создания к 2030 году Общего рынка стран Африки (включая экономический и валютный союзы), как это и было предусмотрено Договором 1991 года, станут более реальными.</w:t>
      </w: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В-третьих, африканские государства смогут в большей степени координировать свою внешнюю и внутреннюю политику, выступая с единых позиций по различным международным вопросам. Это значительно повысит политический вес Африки в системе международных отношений.</w:t>
      </w: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Таким образом, на новом этапе развития Африка возвращается к идеям прошлого. Но в отличие от начала 60-х главной проблемой является не индивидуальная независимость государств, а обеспечение политической и экономической независимости и стабильности всего региона.</w:t>
      </w: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b/>
          <w:color w:val="000000"/>
          <w:sz w:val="28"/>
          <w:szCs w:val="28"/>
        </w:rPr>
        <w:t>Азиатско-Тихоокеанская экономическая интеграция</w:t>
      </w: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Азия, особенно тихоокеанский регион в настоящее время отличается достаточно высокими темпами развития, о чем свидетельствуют высокий уровень жизни населения, рост среднедушевых доходов, улучшение социальных условий.</w:t>
      </w: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Форум «Азиатско-Тихоокеанское экономическое сотрудничество» (АТЭС) образован в ноябре 1989 года. В настоящее время участниками Форума является 21 страна {экономика): Австралия, Бруней, Вьетнам, Гонконг (как особая зона Китая), Индонезия, Канада, КНР, Республика Корея, Малайзия, Мексика, Новая Зеландия, Папуа-Новая Гвинея, Перу, Россия, Сингапур, США, Таиланд, Тайвань, Филиппины, Чили, Япония.</w:t>
      </w: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В странах — членах АТЭС проживают более 2,5 млрд. человек, совокупный валовой внутренний продукт этих стран превышает</w:t>
      </w:r>
      <w:r w:rsidR="00E37257" w:rsidRPr="004F1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B27">
        <w:rPr>
          <w:rFonts w:ascii="Times New Roman" w:hAnsi="Times New Roman" w:cs="Times New Roman"/>
          <w:color w:val="000000"/>
          <w:sz w:val="28"/>
          <w:szCs w:val="28"/>
        </w:rPr>
        <w:t>18 трлн долл. (1999г.). На их долю приходится более 47% мировой торговли.</w:t>
      </w: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В рамках АТЭС вырабатываются и реализуются региональные правила ведения торгово-экономической, научно-технической и инвестиционной деятельности. Проблематикой конкретных направлений экономического взаимодействия в АТЭС занимаются: Комитет по торговле и инвестициям, Экономический комитет, Комитет по вопросам бюджета и управления, Подкомитет по экономическому и техническому сотрудничеству, подкомитеты по таможенным процедурам и т.д.</w:t>
      </w:r>
    </w:p>
    <w:p w:rsidR="00154D0F" w:rsidRPr="004F1B27" w:rsidRDefault="00154D0F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Деятельность в АТЭС направлена на обсуждение и поиск согласованных решений по следующим направлениям:</w:t>
      </w:r>
    </w:p>
    <w:p w:rsidR="00154D0F" w:rsidRPr="004F1B27" w:rsidRDefault="00154D0F" w:rsidP="00E37257">
      <w:pPr>
        <w:numPr>
          <w:ilvl w:val="0"/>
          <w:numId w:val="3"/>
        </w:numPr>
        <w:shd w:val="clear" w:color="auto" w:fill="FFFFFF"/>
        <w:tabs>
          <w:tab w:val="left" w:pos="341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достижение выгод от глобализации и новой экономики. Ведется работа по расширению экономического и технологического сотрудничества путем принятия индивидуальных планов действий в этой сфере, изучаются возможности расширения применения цифровых технологий и обеспечения их доступности для всех стран, развития человеческого потенциала, внедрения новейших методов корпоративного управления;</w:t>
      </w:r>
    </w:p>
    <w:p w:rsidR="00154D0F" w:rsidRPr="004F1B27" w:rsidRDefault="00154D0F" w:rsidP="00E37257">
      <w:pPr>
        <w:numPr>
          <w:ilvl w:val="0"/>
          <w:numId w:val="3"/>
        </w:numPr>
        <w:shd w:val="clear" w:color="auto" w:fill="FFFFFF"/>
        <w:tabs>
          <w:tab w:val="left" w:pos="341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 xml:space="preserve">продвижение либерализации торговли и инвестиций. Расширяется применение методов упрощения торговых процедур для повышения эффективности торговли, ведется работа по улучшению инвестиционного климата в регионе, принимаются меры по поддержке многосторонней торговой системы </w:t>
      </w:r>
      <w:r w:rsidR="00762A49" w:rsidRPr="004F1B2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F1B2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подготовке нового раунда торговых переговоров в рамках Всемирной торговой организации;</w:t>
      </w:r>
    </w:p>
    <w:p w:rsidR="00154D0F" w:rsidRPr="004F1B27" w:rsidRDefault="00154D0F" w:rsidP="00E37257">
      <w:pPr>
        <w:numPr>
          <w:ilvl w:val="0"/>
          <w:numId w:val="3"/>
        </w:numPr>
        <w:shd w:val="clear" w:color="auto" w:fill="FFFFFF"/>
        <w:tabs>
          <w:tab w:val="left" w:pos="341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поддержание устойчивого экономического роста;</w:t>
      </w:r>
    </w:p>
    <w:p w:rsidR="00154D0F" w:rsidRPr="004F1B27" w:rsidRDefault="00154D0F" w:rsidP="00E37257">
      <w:pPr>
        <w:numPr>
          <w:ilvl w:val="0"/>
          <w:numId w:val="3"/>
        </w:numPr>
        <w:shd w:val="clear" w:color="auto" w:fill="FFFFFF"/>
        <w:tabs>
          <w:tab w:val="left" w:pos="341"/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предусматривается расширение сотрудничества в финансовой сфере, проведение диалога по макроэкономической политике для обеспечения большей предсказуемости экономического развития</w:t>
      </w:r>
      <w:r w:rsidR="00E37257" w:rsidRPr="004F1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1B27">
        <w:rPr>
          <w:rFonts w:ascii="Times New Roman" w:hAnsi="Times New Roman" w:cs="Times New Roman"/>
          <w:color w:val="000000"/>
          <w:sz w:val="28"/>
          <w:szCs w:val="28"/>
        </w:rPr>
        <w:t>стран региона, содействие структурным реформам в интересах развития конкурентоспособных отраслей промышленности.</w:t>
      </w:r>
    </w:p>
    <w:p w:rsidR="00154D0F" w:rsidRPr="004F1B27" w:rsidRDefault="00576F8B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4F1B27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576F8B" w:rsidRPr="004F1B27" w:rsidRDefault="00576F8B" w:rsidP="00E3725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F8B" w:rsidRPr="004F1B27" w:rsidRDefault="00576F8B" w:rsidP="00E37257">
      <w:pPr>
        <w:tabs>
          <w:tab w:val="left" w:pos="1080"/>
        </w:tabs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sz w:val="28"/>
          <w:szCs w:val="28"/>
        </w:rPr>
        <w:t>1.</w:t>
      </w:r>
      <w:r w:rsidRPr="004F1B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1B27">
        <w:rPr>
          <w:rFonts w:ascii="Times New Roman" w:hAnsi="Times New Roman" w:cs="Times New Roman"/>
          <w:bCs/>
          <w:color w:val="000000"/>
          <w:sz w:val="28"/>
          <w:szCs w:val="28"/>
        </w:rPr>
        <w:t>Симионов Ю.Ф., Носко Б.П., Гильяно А.А Мировая экономика и международные экономические отношения. Р н/Д: 2004. – 160с.</w:t>
      </w:r>
    </w:p>
    <w:p w:rsidR="00576F8B" w:rsidRPr="004F1B27" w:rsidRDefault="00576F8B" w:rsidP="00E37257">
      <w:pPr>
        <w:shd w:val="clear" w:color="auto" w:fill="FFFFFF"/>
        <w:tabs>
          <w:tab w:val="left" w:pos="1080"/>
          <w:tab w:val="left" w:pos="5083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4F1B27">
        <w:rPr>
          <w:rFonts w:ascii="Times New Roman" w:hAnsi="Times New Roman" w:cs="Times New Roman"/>
          <w:color w:val="000000"/>
          <w:sz w:val="28"/>
          <w:szCs w:val="28"/>
        </w:rPr>
        <w:t>Сапич B.I., Сапич Н.М. Міжнародна економіка: Практикум: Навчальний посібник. - Суми: ВТД «Університетська книга», 2003. - 159 с.</w:t>
      </w:r>
    </w:p>
    <w:p w:rsidR="00576F8B" w:rsidRPr="004F1B27" w:rsidRDefault="00576F8B" w:rsidP="00E37257">
      <w:pPr>
        <w:shd w:val="clear" w:color="auto" w:fill="FFFFFF"/>
        <w:tabs>
          <w:tab w:val="left" w:pos="1080"/>
          <w:tab w:val="left" w:pos="5083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1B27">
        <w:rPr>
          <w:rFonts w:ascii="Times New Roman" w:hAnsi="Times New Roman" w:cs="Times New Roman"/>
          <w:color w:val="000000"/>
          <w:sz w:val="28"/>
          <w:szCs w:val="28"/>
        </w:rPr>
        <w:t>3. Ломакин В.К. Мировая экономика: Учебник для вузов. — М.: ЮНИТИ, 2007. — 727 с.</w:t>
      </w:r>
      <w:bookmarkStart w:id="0" w:name="_GoBack"/>
      <w:bookmarkEnd w:id="0"/>
    </w:p>
    <w:sectPr w:rsidR="00576F8B" w:rsidRPr="004F1B27" w:rsidSect="00E37257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A1C" w:rsidRDefault="00030A1C">
      <w:r>
        <w:separator/>
      </w:r>
    </w:p>
  </w:endnote>
  <w:endnote w:type="continuationSeparator" w:id="0">
    <w:p w:rsidR="00030A1C" w:rsidRDefault="0003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D0F" w:rsidRDefault="00154D0F" w:rsidP="00154D0F">
    <w:pPr>
      <w:pStyle w:val="a3"/>
      <w:framePr w:wrap="around" w:vAnchor="text" w:hAnchor="margin" w:xAlign="right" w:y="1"/>
      <w:rPr>
        <w:rStyle w:val="a5"/>
        <w:rFonts w:cs="Arial"/>
      </w:rPr>
    </w:pPr>
  </w:p>
  <w:p w:rsidR="00154D0F" w:rsidRDefault="00154D0F" w:rsidP="00154D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A1C" w:rsidRDefault="00030A1C">
      <w:r>
        <w:separator/>
      </w:r>
    </w:p>
  </w:footnote>
  <w:footnote w:type="continuationSeparator" w:id="0">
    <w:p w:rsidR="00030A1C" w:rsidRDefault="0003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AD68990"/>
    <w:lvl w:ilvl="0">
      <w:numFmt w:val="bullet"/>
      <w:lvlText w:val="*"/>
      <w:lvlJc w:val="left"/>
    </w:lvl>
  </w:abstractNum>
  <w:abstractNum w:abstractNumId="1">
    <w:nsid w:val="6AE944FB"/>
    <w:multiLevelType w:val="singleLevel"/>
    <w:tmpl w:val="2042CBE6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Arial" w:hAnsi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391"/>
    <w:rsid w:val="00030A1C"/>
    <w:rsid w:val="000F7A5C"/>
    <w:rsid w:val="00154D0F"/>
    <w:rsid w:val="003F3E7B"/>
    <w:rsid w:val="00460269"/>
    <w:rsid w:val="00483EFE"/>
    <w:rsid w:val="004D02DD"/>
    <w:rsid w:val="004F1B27"/>
    <w:rsid w:val="00563DF5"/>
    <w:rsid w:val="00576F8B"/>
    <w:rsid w:val="005D4032"/>
    <w:rsid w:val="00762A49"/>
    <w:rsid w:val="00953814"/>
    <w:rsid w:val="009574C6"/>
    <w:rsid w:val="00B04CFA"/>
    <w:rsid w:val="00C36391"/>
    <w:rsid w:val="00CE753A"/>
    <w:rsid w:val="00D72876"/>
    <w:rsid w:val="00E3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B7A065-D0AB-4DE8-A903-696C4045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4D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154D0F"/>
    <w:rPr>
      <w:rFonts w:cs="Times New Roman"/>
    </w:rPr>
  </w:style>
  <w:style w:type="paragraph" w:styleId="a6">
    <w:name w:val="header"/>
    <w:basedOn w:val="a"/>
    <w:link w:val="a7"/>
    <w:uiPriority w:val="99"/>
    <w:rsid w:val="00E372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вопросы интеграции</vt:lpstr>
    </vt:vector>
  </TitlesOfParts>
  <Company/>
  <LinksUpToDate>false</LinksUpToDate>
  <CharactersWithSpaces>17199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вопросы интеграции</dc:title>
  <dc:subject/>
  <dc:creator>HELENA</dc:creator>
  <cp:keywords/>
  <dc:description/>
  <cp:lastModifiedBy>admin</cp:lastModifiedBy>
  <cp:revision>2</cp:revision>
  <dcterms:created xsi:type="dcterms:W3CDTF">2014-02-28T03:26:00Z</dcterms:created>
  <dcterms:modified xsi:type="dcterms:W3CDTF">2014-02-28T03:26:00Z</dcterms:modified>
</cp:coreProperties>
</file>