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5EA7" w:rsidRPr="00515EA7" w:rsidRDefault="00515EA7">
      <w:pPr>
        <w:pStyle w:val="ab"/>
        <w:rPr>
          <w:b/>
          <w:bCs/>
        </w:rPr>
      </w:pPr>
      <w:r w:rsidRPr="00515EA7">
        <w:rPr>
          <w:b/>
          <w:bCs/>
        </w:rPr>
        <w:t>Государственный университет "Дубна"</w:t>
      </w:r>
    </w:p>
    <w:p w:rsidR="00515EA7" w:rsidRPr="00515EA7" w:rsidRDefault="00515EA7">
      <w:pPr>
        <w:rPr>
          <w:sz w:val="24"/>
          <w:szCs w:val="24"/>
        </w:rPr>
      </w:pPr>
    </w:p>
    <w:p w:rsidR="00515EA7" w:rsidRPr="00515EA7" w:rsidRDefault="00515EA7">
      <w:pPr>
        <w:rPr>
          <w:sz w:val="24"/>
          <w:szCs w:val="24"/>
        </w:rPr>
      </w:pPr>
    </w:p>
    <w:p w:rsidR="00515EA7" w:rsidRPr="00515EA7" w:rsidRDefault="00515EA7">
      <w:pPr>
        <w:rPr>
          <w:sz w:val="24"/>
          <w:szCs w:val="24"/>
        </w:rPr>
      </w:pPr>
    </w:p>
    <w:p w:rsidR="00515EA7" w:rsidRPr="00515EA7" w:rsidRDefault="00515EA7">
      <w:pPr>
        <w:rPr>
          <w:sz w:val="24"/>
          <w:szCs w:val="24"/>
        </w:rPr>
      </w:pPr>
    </w:p>
    <w:p w:rsidR="00515EA7" w:rsidRPr="00515EA7" w:rsidRDefault="00515EA7">
      <w:pPr>
        <w:rPr>
          <w:sz w:val="24"/>
          <w:szCs w:val="24"/>
        </w:rPr>
      </w:pPr>
    </w:p>
    <w:p w:rsidR="00515EA7" w:rsidRPr="00515EA7" w:rsidRDefault="00515EA7">
      <w:pPr>
        <w:rPr>
          <w:sz w:val="24"/>
          <w:szCs w:val="24"/>
        </w:rPr>
      </w:pPr>
    </w:p>
    <w:p w:rsidR="00515EA7" w:rsidRPr="00515EA7" w:rsidRDefault="00515EA7">
      <w:pPr>
        <w:rPr>
          <w:sz w:val="24"/>
          <w:szCs w:val="24"/>
        </w:rPr>
      </w:pPr>
    </w:p>
    <w:p w:rsidR="00515EA7" w:rsidRPr="00515EA7" w:rsidRDefault="00515EA7">
      <w:pPr>
        <w:pStyle w:val="1"/>
        <w:rPr>
          <w:sz w:val="24"/>
          <w:szCs w:val="24"/>
        </w:rPr>
      </w:pPr>
      <w:r w:rsidRPr="00515EA7">
        <w:rPr>
          <w:sz w:val="24"/>
          <w:szCs w:val="24"/>
        </w:rPr>
        <w:t>Кафедра менеджмента</w:t>
      </w:r>
    </w:p>
    <w:p w:rsidR="00515EA7" w:rsidRPr="00515EA7" w:rsidRDefault="00515EA7">
      <w:pPr>
        <w:rPr>
          <w:sz w:val="24"/>
          <w:szCs w:val="24"/>
        </w:rPr>
      </w:pPr>
    </w:p>
    <w:p w:rsidR="00515EA7" w:rsidRPr="00515EA7" w:rsidRDefault="00515EA7">
      <w:pPr>
        <w:rPr>
          <w:sz w:val="24"/>
          <w:szCs w:val="24"/>
        </w:rPr>
      </w:pPr>
    </w:p>
    <w:p w:rsidR="00515EA7" w:rsidRPr="00515EA7" w:rsidRDefault="00515EA7">
      <w:pPr>
        <w:rPr>
          <w:sz w:val="24"/>
          <w:szCs w:val="24"/>
        </w:rPr>
      </w:pPr>
    </w:p>
    <w:p w:rsidR="00515EA7" w:rsidRPr="00515EA7" w:rsidRDefault="00515EA7">
      <w:pPr>
        <w:rPr>
          <w:sz w:val="24"/>
          <w:szCs w:val="24"/>
        </w:rPr>
      </w:pPr>
    </w:p>
    <w:p w:rsidR="00515EA7" w:rsidRPr="00515EA7" w:rsidRDefault="00515EA7">
      <w:pPr>
        <w:rPr>
          <w:sz w:val="24"/>
          <w:szCs w:val="24"/>
        </w:rPr>
      </w:pPr>
    </w:p>
    <w:p w:rsidR="00515EA7" w:rsidRPr="00515EA7" w:rsidRDefault="00515EA7">
      <w:pPr>
        <w:jc w:val="center"/>
        <w:rPr>
          <w:i/>
          <w:iCs/>
          <w:sz w:val="28"/>
          <w:szCs w:val="28"/>
        </w:rPr>
      </w:pPr>
      <w:r w:rsidRPr="00515EA7">
        <w:rPr>
          <w:i/>
          <w:iCs/>
          <w:sz w:val="28"/>
          <w:szCs w:val="28"/>
        </w:rPr>
        <w:t>Реферат на тему:</w:t>
      </w:r>
    </w:p>
    <w:p w:rsidR="00515EA7" w:rsidRPr="00515EA7" w:rsidRDefault="00515EA7">
      <w:pPr>
        <w:pStyle w:val="3"/>
        <w:spacing w:line="360" w:lineRule="auto"/>
        <w:jc w:val="center"/>
        <w:rPr>
          <w:i/>
          <w:iCs/>
        </w:rPr>
      </w:pPr>
      <w:r w:rsidRPr="00515EA7">
        <w:rPr>
          <w:i/>
          <w:iCs/>
        </w:rPr>
        <w:t>Немецкая модель мнеджмента</w:t>
      </w:r>
    </w:p>
    <w:p w:rsidR="00515EA7" w:rsidRPr="00515EA7" w:rsidRDefault="00515EA7">
      <w:pPr>
        <w:rPr>
          <w:sz w:val="24"/>
          <w:szCs w:val="24"/>
        </w:rPr>
      </w:pPr>
    </w:p>
    <w:p w:rsidR="00515EA7" w:rsidRPr="00515EA7" w:rsidRDefault="00515EA7">
      <w:pPr>
        <w:rPr>
          <w:sz w:val="24"/>
          <w:szCs w:val="24"/>
        </w:rPr>
      </w:pPr>
    </w:p>
    <w:p w:rsidR="00515EA7" w:rsidRPr="00515EA7" w:rsidRDefault="00515EA7">
      <w:pPr>
        <w:jc w:val="right"/>
        <w:rPr>
          <w:sz w:val="24"/>
          <w:szCs w:val="24"/>
        </w:rPr>
      </w:pPr>
    </w:p>
    <w:p w:rsidR="00515EA7" w:rsidRPr="00515EA7" w:rsidRDefault="00515EA7">
      <w:pPr>
        <w:jc w:val="right"/>
        <w:rPr>
          <w:sz w:val="24"/>
          <w:szCs w:val="24"/>
        </w:rPr>
      </w:pPr>
    </w:p>
    <w:p w:rsidR="00515EA7" w:rsidRPr="00515EA7" w:rsidRDefault="00515EA7">
      <w:pPr>
        <w:jc w:val="right"/>
        <w:rPr>
          <w:sz w:val="24"/>
          <w:szCs w:val="24"/>
        </w:rPr>
      </w:pPr>
    </w:p>
    <w:p w:rsidR="00515EA7" w:rsidRPr="00515EA7" w:rsidRDefault="00515EA7">
      <w:pPr>
        <w:jc w:val="right"/>
        <w:rPr>
          <w:sz w:val="24"/>
          <w:szCs w:val="24"/>
        </w:rPr>
      </w:pPr>
    </w:p>
    <w:p w:rsidR="00515EA7" w:rsidRPr="00515EA7" w:rsidRDefault="00515EA7">
      <w:pPr>
        <w:jc w:val="right"/>
        <w:rPr>
          <w:sz w:val="24"/>
          <w:szCs w:val="24"/>
        </w:rPr>
      </w:pPr>
    </w:p>
    <w:p w:rsidR="00515EA7" w:rsidRPr="00515EA7" w:rsidRDefault="00515EA7">
      <w:pPr>
        <w:spacing w:line="360" w:lineRule="auto"/>
        <w:jc w:val="right"/>
        <w:rPr>
          <w:sz w:val="24"/>
          <w:szCs w:val="24"/>
        </w:rPr>
      </w:pPr>
      <w:r w:rsidRPr="00515EA7">
        <w:rPr>
          <w:sz w:val="24"/>
          <w:szCs w:val="24"/>
        </w:rPr>
        <w:t>Выполнил: студент группы 2062,</w:t>
      </w:r>
    </w:p>
    <w:p w:rsidR="00515EA7" w:rsidRPr="00515EA7" w:rsidRDefault="00515EA7">
      <w:pPr>
        <w:spacing w:line="360" w:lineRule="auto"/>
        <w:jc w:val="right"/>
        <w:rPr>
          <w:b/>
          <w:bCs/>
          <w:i/>
          <w:iCs/>
          <w:sz w:val="24"/>
          <w:szCs w:val="24"/>
        </w:rPr>
      </w:pPr>
      <w:r w:rsidRPr="00515EA7">
        <w:rPr>
          <w:b/>
          <w:bCs/>
          <w:i/>
          <w:iCs/>
          <w:sz w:val="24"/>
          <w:szCs w:val="24"/>
        </w:rPr>
        <w:t>Тарский Ф.Н.</w:t>
      </w:r>
    </w:p>
    <w:p w:rsidR="00515EA7" w:rsidRPr="00515EA7" w:rsidRDefault="00515EA7">
      <w:pPr>
        <w:jc w:val="center"/>
        <w:rPr>
          <w:i/>
          <w:iCs/>
          <w:sz w:val="24"/>
          <w:szCs w:val="24"/>
        </w:rPr>
      </w:pPr>
    </w:p>
    <w:p w:rsidR="00515EA7" w:rsidRPr="00515EA7" w:rsidRDefault="00515EA7">
      <w:pPr>
        <w:jc w:val="center"/>
        <w:rPr>
          <w:i/>
          <w:iCs/>
          <w:sz w:val="24"/>
          <w:szCs w:val="24"/>
        </w:rPr>
      </w:pPr>
    </w:p>
    <w:p w:rsidR="00515EA7" w:rsidRPr="00515EA7" w:rsidRDefault="00515EA7">
      <w:pPr>
        <w:jc w:val="center"/>
        <w:rPr>
          <w:i/>
          <w:iCs/>
          <w:sz w:val="24"/>
          <w:szCs w:val="24"/>
        </w:rPr>
      </w:pPr>
    </w:p>
    <w:p w:rsidR="00515EA7" w:rsidRPr="00515EA7" w:rsidRDefault="00515EA7">
      <w:pPr>
        <w:jc w:val="center"/>
        <w:rPr>
          <w:i/>
          <w:iCs/>
          <w:sz w:val="24"/>
          <w:szCs w:val="24"/>
        </w:rPr>
      </w:pPr>
    </w:p>
    <w:p w:rsidR="00515EA7" w:rsidRPr="00515EA7" w:rsidRDefault="00515EA7">
      <w:pPr>
        <w:jc w:val="center"/>
        <w:rPr>
          <w:i/>
          <w:iCs/>
          <w:sz w:val="24"/>
          <w:szCs w:val="24"/>
        </w:rPr>
      </w:pPr>
    </w:p>
    <w:p w:rsidR="00515EA7" w:rsidRPr="00515EA7" w:rsidRDefault="00515EA7">
      <w:pPr>
        <w:jc w:val="center"/>
        <w:rPr>
          <w:i/>
          <w:iCs/>
          <w:sz w:val="24"/>
          <w:szCs w:val="24"/>
        </w:rPr>
      </w:pPr>
    </w:p>
    <w:p w:rsidR="00515EA7" w:rsidRPr="00515EA7" w:rsidRDefault="00515EA7">
      <w:pPr>
        <w:jc w:val="center"/>
        <w:rPr>
          <w:i/>
          <w:iCs/>
          <w:sz w:val="24"/>
          <w:szCs w:val="24"/>
        </w:rPr>
      </w:pPr>
    </w:p>
    <w:p w:rsidR="00515EA7" w:rsidRPr="00515EA7" w:rsidRDefault="00515EA7">
      <w:pPr>
        <w:jc w:val="center"/>
        <w:rPr>
          <w:i/>
          <w:iCs/>
          <w:sz w:val="24"/>
          <w:szCs w:val="24"/>
        </w:rPr>
      </w:pPr>
    </w:p>
    <w:p w:rsidR="00515EA7" w:rsidRPr="00515EA7" w:rsidRDefault="00515EA7">
      <w:pPr>
        <w:rPr>
          <w:i/>
          <w:iCs/>
          <w:sz w:val="24"/>
          <w:szCs w:val="24"/>
        </w:rPr>
      </w:pPr>
    </w:p>
    <w:p w:rsidR="00515EA7" w:rsidRPr="00515EA7" w:rsidRDefault="00515EA7">
      <w:pPr>
        <w:jc w:val="center"/>
        <w:rPr>
          <w:i/>
          <w:iCs/>
          <w:sz w:val="24"/>
          <w:szCs w:val="24"/>
        </w:rPr>
      </w:pPr>
    </w:p>
    <w:p w:rsidR="00515EA7" w:rsidRPr="00515EA7" w:rsidRDefault="00515EA7">
      <w:pPr>
        <w:jc w:val="center"/>
        <w:rPr>
          <w:i/>
          <w:iCs/>
          <w:sz w:val="24"/>
          <w:szCs w:val="24"/>
        </w:rPr>
      </w:pPr>
    </w:p>
    <w:p w:rsidR="00515EA7" w:rsidRPr="00515EA7" w:rsidRDefault="00515EA7">
      <w:pPr>
        <w:jc w:val="center"/>
        <w:rPr>
          <w:i/>
          <w:iCs/>
          <w:sz w:val="24"/>
          <w:szCs w:val="24"/>
        </w:rPr>
      </w:pPr>
    </w:p>
    <w:p w:rsidR="00515EA7" w:rsidRPr="00515EA7" w:rsidRDefault="00515EA7">
      <w:pPr>
        <w:jc w:val="center"/>
        <w:rPr>
          <w:i/>
          <w:iCs/>
          <w:sz w:val="24"/>
          <w:szCs w:val="24"/>
        </w:rPr>
      </w:pPr>
    </w:p>
    <w:p w:rsidR="00515EA7" w:rsidRPr="00515EA7" w:rsidRDefault="00515EA7">
      <w:pPr>
        <w:jc w:val="center"/>
        <w:rPr>
          <w:i/>
          <w:iCs/>
          <w:sz w:val="24"/>
          <w:szCs w:val="24"/>
        </w:rPr>
      </w:pPr>
    </w:p>
    <w:p w:rsidR="00515EA7" w:rsidRPr="00515EA7" w:rsidRDefault="00515EA7">
      <w:pPr>
        <w:jc w:val="center"/>
        <w:rPr>
          <w:i/>
          <w:iCs/>
          <w:sz w:val="24"/>
          <w:szCs w:val="24"/>
        </w:rPr>
      </w:pPr>
    </w:p>
    <w:p w:rsidR="00515EA7" w:rsidRPr="00515EA7" w:rsidRDefault="00515EA7">
      <w:pPr>
        <w:jc w:val="center"/>
        <w:rPr>
          <w:i/>
          <w:iCs/>
          <w:sz w:val="24"/>
          <w:szCs w:val="24"/>
        </w:rPr>
      </w:pPr>
    </w:p>
    <w:p w:rsidR="00515EA7" w:rsidRPr="00515EA7" w:rsidRDefault="00515EA7">
      <w:pPr>
        <w:jc w:val="center"/>
        <w:rPr>
          <w:i/>
          <w:iCs/>
          <w:sz w:val="24"/>
          <w:szCs w:val="24"/>
        </w:rPr>
      </w:pPr>
    </w:p>
    <w:p w:rsidR="00515EA7" w:rsidRPr="00515EA7" w:rsidRDefault="00515EA7">
      <w:pPr>
        <w:rPr>
          <w:i/>
          <w:iCs/>
          <w:sz w:val="24"/>
          <w:szCs w:val="24"/>
        </w:rPr>
      </w:pPr>
    </w:p>
    <w:p w:rsidR="00515EA7" w:rsidRDefault="00515EA7">
      <w:pPr>
        <w:jc w:val="center"/>
        <w:rPr>
          <w:i/>
          <w:iCs/>
          <w:sz w:val="24"/>
          <w:szCs w:val="24"/>
          <w:lang w:val="en-US"/>
        </w:rPr>
      </w:pPr>
    </w:p>
    <w:p w:rsidR="00515EA7" w:rsidRPr="00515EA7" w:rsidRDefault="00515EA7">
      <w:pPr>
        <w:jc w:val="center"/>
        <w:rPr>
          <w:i/>
          <w:iCs/>
          <w:sz w:val="24"/>
          <w:szCs w:val="24"/>
          <w:lang w:val="en-US"/>
        </w:rPr>
      </w:pPr>
    </w:p>
    <w:p w:rsidR="00515EA7" w:rsidRPr="00515EA7" w:rsidRDefault="00515EA7">
      <w:pPr>
        <w:jc w:val="center"/>
        <w:rPr>
          <w:i/>
          <w:iCs/>
          <w:sz w:val="24"/>
          <w:szCs w:val="24"/>
        </w:rPr>
      </w:pPr>
      <w:r w:rsidRPr="00515EA7">
        <w:rPr>
          <w:i/>
          <w:iCs/>
          <w:sz w:val="24"/>
          <w:szCs w:val="24"/>
        </w:rPr>
        <w:t>Дубна,</w:t>
      </w:r>
    </w:p>
    <w:p w:rsidR="00515EA7" w:rsidRPr="00515EA7" w:rsidRDefault="00515EA7">
      <w:pPr>
        <w:jc w:val="center"/>
        <w:rPr>
          <w:b/>
          <w:bCs/>
          <w:i/>
          <w:iCs/>
          <w:sz w:val="24"/>
          <w:szCs w:val="24"/>
        </w:rPr>
      </w:pPr>
      <w:r w:rsidRPr="00515EA7">
        <w:rPr>
          <w:b/>
          <w:bCs/>
          <w:i/>
          <w:iCs/>
          <w:sz w:val="24"/>
          <w:szCs w:val="24"/>
        </w:rPr>
        <w:t>2000 г.</w:t>
      </w:r>
    </w:p>
    <w:p w:rsidR="00515EA7" w:rsidRPr="00515EA7" w:rsidRDefault="00515EA7" w:rsidP="00515EA7">
      <w:pPr>
        <w:pStyle w:val="3"/>
        <w:jc w:val="center"/>
        <w:rPr>
          <w:i/>
          <w:iCs/>
          <w:sz w:val="24"/>
          <w:szCs w:val="24"/>
        </w:rPr>
      </w:pPr>
      <w:r w:rsidRPr="00515EA7">
        <w:rPr>
          <w:i/>
          <w:iCs/>
          <w:sz w:val="24"/>
          <w:szCs w:val="24"/>
        </w:rPr>
        <w:t>Вступление</w:t>
      </w:r>
    </w:p>
    <w:p w:rsidR="00515EA7" w:rsidRPr="00515EA7" w:rsidRDefault="00515EA7" w:rsidP="00515EA7">
      <w:pPr>
        <w:pStyle w:val="2"/>
      </w:pPr>
      <w:r w:rsidRPr="00515EA7">
        <w:t>Структура управления корпорацией (акционерным обществом) в конкретной стране определяется несколькими факторами: законодательством и различными нормативными актами, регулирующими права и обязанности всех участвующих сторон; фактически сложившейся структурой управления в данной стране; уставом каждого акционерного общества. Несмотря на то, что положения системы управления могут быть разными у различных акционерных обществ, многие факторы "де-факто" и "де-юре" оказывают на них практически одинаковое влияние. Поэтому, возможно сформулировать определение типовой "модели" управления акционерным обществом в различных странах.</w:t>
      </w:r>
    </w:p>
    <w:p w:rsidR="00515EA7" w:rsidRPr="00515EA7" w:rsidRDefault="00515EA7" w:rsidP="00515EA7">
      <w:pPr>
        <w:rPr>
          <w:sz w:val="24"/>
          <w:szCs w:val="24"/>
        </w:rPr>
      </w:pPr>
      <w:r w:rsidRPr="00515EA7">
        <w:rPr>
          <w:sz w:val="24"/>
          <w:szCs w:val="24"/>
        </w:rPr>
        <w:t>В каждой стране структура управления акционерными обществами имеет определенные характеристики и составляющие элементы, которые отличают ее от структур других стран. На настоящий момент исследователи выделяют три основных модели управления акционерными обществами на развитых рынках капитала. Это англо-американская модель, японская модель и немецкая модель.</w:t>
      </w:r>
    </w:p>
    <w:p w:rsidR="00515EA7" w:rsidRPr="00515EA7" w:rsidRDefault="00515EA7" w:rsidP="00515EA7">
      <w:pPr>
        <w:rPr>
          <w:sz w:val="24"/>
          <w:szCs w:val="24"/>
        </w:rPr>
      </w:pPr>
      <w:r w:rsidRPr="00515EA7">
        <w:rPr>
          <w:sz w:val="24"/>
          <w:szCs w:val="24"/>
        </w:rPr>
        <w:t>Основные признаки или элементы каждой модели это:</w:t>
      </w:r>
    </w:p>
    <w:p w:rsidR="00515EA7" w:rsidRPr="00515EA7" w:rsidRDefault="00515EA7" w:rsidP="00515EA7">
      <w:pPr>
        <w:numPr>
          <w:ilvl w:val="0"/>
          <w:numId w:val="1"/>
        </w:numPr>
        <w:rPr>
          <w:sz w:val="24"/>
          <w:szCs w:val="24"/>
        </w:rPr>
      </w:pPr>
      <w:r w:rsidRPr="00515EA7">
        <w:rPr>
          <w:sz w:val="24"/>
          <w:szCs w:val="24"/>
        </w:rPr>
        <w:t>ключевые участники акционерного общества или корпорации;</w:t>
      </w:r>
    </w:p>
    <w:p w:rsidR="00515EA7" w:rsidRPr="00515EA7" w:rsidRDefault="00515EA7" w:rsidP="00515EA7">
      <w:pPr>
        <w:numPr>
          <w:ilvl w:val="0"/>
          <w:numId w:val="1"/>
        </w:numPr>
        <w:rPr>
          <w:sz w:val="24"/>
          <w:szCs w:val="24"/>
        </w:rPr>
      </w:pPr>
      <w:r w:rsidRPr="00515EA7">
        <w:rPr>
          <w:sz w:val="24"/>
          <w:szCs w:val="24"/>
        </w:rPr>
        <w:t>структура владения акциями в конкретной модели;</w:t>
      </w:r>
    </w:p>
    <w:p w:rsidR="00515EA7" w:rsidRPr="00515EA7" w:rsidRDefault="00515EA7" w:rsidP="00515EA7">
      <w:pPr>
        <w:numPr>
          <w:ilvl w:val="0"/>
          <w:numId w:val="1"/>
        </w:numPr>
        <w:rPr>
          <w:sz w:val="24"/>
          <w:szCs w:val="24"/>
        </w:rPr>
      </w:pPr>
      <w:r w:rsidRPr="00515EA7">
        <w:rPr>
          <w:sz w:val="24"/>
          <w:szCs w:val="24"/>
        </w:rPr>
        <w:t>состав совета директоров (или советов – в немецкой модели);</w:t>
      </w:r>
    </w:p>
    <w:p w:rsidR="00515EA7" w:rsidRPr="00515EA7" w:rsidRDefault="00515EA7" w:rsidP="00515EA7">
      <w:pPr>
        <w:numPr>
          <w:ilvl w:val="0"/>
          <w:numId w:val="1"/>
        </w:numPr>
        <w:rPr>
          <w:sz w:val="24"/>
          <w:szCs w:val="24"/>
        </w:rPr>
      </w:pPr>
      <w:r w:rsidRPr="00515EA7">
        <w:rPr>
          <w:sz w:val="24"/>
          <w:szCs w:val="24"/>
        </w:rPr>
        <w:t>законодательные рамки;</w:t>
      </w:r>
    </w:p>
    <w:p w:rsidR="00515EA7" w:rsidRPr="00515EA7" w:rsidRDefault="00515EA7" w:rsidP="00515EA7">
      <w:pPr>
        <w:numPr>
          <w:ilvl w:val="0"/>
          <w:numId w:val="1"/>
        </w:numPr>
        <w:rPr>
          <w:sz w:val="24"/>
          <w:szCs w:val="24"/>
        </w:rPr>
      </w:pPr>
      <w:r w:rsidRPr="00515EA7">
        <w:rPr>
          <w:sz w:val="24"/>
          <w:szCs w:val="24"/>
        </w:rPr>
        <w:t>требования к раскрытию информации для корпораций, включенных в листинг;</w:t>
      </w:r>
    </w:p>
    <w:p w:rsidR="00515EA7" w:rsidRPr="00515EA7" w:rsidRDefault="00515EA7" w:rsidP="00515EA7">
      <w:pPr>
        <w:numPr>
          <w:ilvl w:val="0"/>
          <w:numId w:val="1"/>
        </w:numPr>
        <w:rPr>
          <w:sz w:val="24"/>
          <w:szCs w:val="24"/>
        </w:rPr>
      </w:pPr>
      <w:r w:rsidRPr="00515EA7">
        <w:rPr>
          <w:sz w:val="24"/>
          <w:szCs w:val="24"/>
        </w:rPr>
        <w:t>корпоративные действия, требующие одобрения акционеров;</w:t>
      </w:r>
    </w:p>
    <w:p w:rsidR="00515EA7" w:rsidRPr="00515EA7" w:rsidRDefault="00515EA7" w:rsidP="00515EA7">
      <w:pPr>
        <w:numPr>
          <w:ilvl w:val="0"/>
          <w:numId w:val="1"/>
        </w:numPr>
        <w:rPr>
          <w:sz w:val="24"/>
          <w:szCs w:val="24"/>
        </w:rPr>
      </w:pPr>
      <w:r w:rsidRPr="00515EA7">
        <w:rPr>
          <w:sz w:val="24"/>
          <w:szCs w:val="24"/>
        </w:rPr>
        <w:t>механизм взаимодействия между ключевыми участниками.</w:t>
      </w:r>
    </w:p>
    <w:p w:rsidR="00515EA7" w:rsidRPr="00515EA7" w:rsidRDefault="00515EA7" w:rsidP="00515EA7">
      <w:pPr>
        <w:rPr>
          <w:sz w:val="24"/>
          <w:szCs w:val="24"/>
        </w:rPr>
      </w:pPr>
      <w:r w:rsidRPr="00515EA7">
        <w:rPr>
          <w:sz w:val="24"/>
          <w:szCs w:val="24"/>
        </w:rPr>
        <w:t>При этом необходимо понимать, что нельзя просто взять одну из моделей и применять ее в другой стране. Процесс формирования определенной модели управления динамичный: структура корпоративного управления всегда отвечает условиям и особенностям конкретной страны.</w:t>
      </w:r>
    </w:p>
    <w:p w:rsidR="00515EA7" w:rsidRPr="00515EA7" w:rsidRDefault="00515EA7" w:rsidP="00515EA7">
      <w:pPr>
        <w:pStyle w:val="3"/>
        <w:rPr>
          <w:sz w:val="24"/>
          <w:szCs w:val="24"/>
        </w:rPr>
      </w:pPr>
    </w:p>
    <w:p w:rsidR="00515EA7" w:rsidRPr="00515EA7" w:rsidRDefault="00515EA7" w:rsidP="00515EA7">
      <w:pPr>
        <w:pStyle w:val="3"/>
        <w:jc w:val="center"/>
        <w:rPr>
          <w:i/>
          <w:iCs/>
          <w:sz w:val="24"/>
          <w:szCs w:val="24"/>
        </w:rPr>
      </w:pPr>
      <w:r w:rsidRPr="00515EA7">
        <w:rPr>
          <w:i/>
          <w:iCs/>
          <w:sz w:val="24"/>
          <w:szCs w:val="24"/>
        </w:rPr>
        <w:t>Немецкая модель мнеджмента</w:t>
      </w:r>
    </w:p>
    <w:p w:rsidR="00515EA7" w:rsidRPr="00515EA7" w:rsidRDefault="00515EA7" w:rsidP="00515EA7">
      <w:pPr>
        <w:pStyle w:val="a4"/>
      </w:pPr>
      <w:r w:rsidRPr="00515EA7">
        <w:t>Немецкая модель используется в немецких и австрийских корпорациях. Некоторые элементы этой модели присутствуют также в Нидерландах и Скандинавии. Кроме этого, недавно некоторые корпорации Франции и Бельгии также начали применять элементы немецкой модели.</w:t>
      </w:r>
    </w:p>
    <w:p w:rsidR="00515EA7" w:rsidRPr="00515EA7" w:rsidRDefault="00515EA7" w:rsidP="00515EA7">
      <w:pPr>
        <w:pStyle w:val="a6"/>
        <w:spacing w:line="240" w:lineRule="auto"/>
      </w:pPr>
      <w:r w:rsidRPr="00515EA7">
        <w:t>Немецкая модель управления акционерными обществами существенно отличается от англо-американской и японской моделей. Хотя некоторое сходство с японской моделью все-таки существует.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Банки являются долгосрочными акционерами немецких корпораций</w:t>
      </w:r>
      <w:r w:rsidRPr="00515EA7">
        <w:rPr>
          <w:rStyle w:val="a3"/>
          <w:sz w:val="24"/>
          <w:szCs w:val="24"/>
        </w:rPr>
        <w:footnoteReference w:id="1"/>
      </w:r>
      <w:r w:rsidRPr="00515EA7">
        <w:rPr>
          <w:sz w:val="24"/>
          <w:szCs w:val="24"/>
          <w:vertAlign w:val="superscript"/>
        </w:rPr>
        <w:t xml:space="preserve"> </w:t>
      </w:r>
      <w:r w:rsidRPr="00515EA7">
        <w:rPr>
          <w:sz w:val="24"/>
          <w:szCs w:val="24"/>
        </w:rPr>
        <w:t>и, подобно японской модели, представители банков выбираются в Советы директоров. Однако, в отличие от японской модели, где представители банков привлекаются в совет только в кризисных ситуациях, в немецких корпорациях представительство банков в совете постоянно. Три крупнейших универсальных немецких банка (т. е. банки, предоставляющие широкий диапазон услуг) играют основную роль; в некоторых областях страны государственные банки являются ключевыми акционерами.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Существуют три основных особенности немецкой модели, отличающие ее от других моделей. Две из них – это состав совет директоров и права акционеров.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Во-первых, немецкая модель предусматривает двухпалатный Совет, состоящий из Правления (исполнительного совета) (чиновники корпорации, т. е. внутренние члены) и наблюдательного совета (представители рабочих, служащих корпорации и акционеров). Эти две палаты абсолютно раздельны: никто не может одновременно членом Правления и наблюдательного совета.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Во-вторых, численность наблюдательного совета устанавливается законом и не может быть изменена акционерами.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В-третьих, в Германии и других странах, использующих немецкую модель, узаконены ограничения прав акционеров в части голосования, т. е. ограничивается число голосов, которое акционер имеет на собрании и которое может не совпадать с числом акций, которыми этот акционер владеет</w:t>
      </w:r>
      <w:r w:rsidRPr="00515EA7">
        <w:rPr>
          <w:rStyle w:val="a3"/>
          <w:sz w:val="24"/>
          <w:szCs w:val="24"/>
        </w:rPr>
        <w:footnoteReference w:id="2"/>
      </w:r>
      <w:r w:rsidRPr="00515EA7">
        <w:rPr>
          <w:sz w:val="24"/>
          <w:szCs w:val="24"/>
        </w:rPr>
        <w:t>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Большинство немецких корпораций предпочитает банковское финансирование акционерному, поэтому капитализация фондового рынка невелика по сравнению с мощью немецкой экономики. Процент индивидуальных акционеров в Германии низок, что отражает общий консерватизм инвестиционной политики страны. Поэтому неудивительно, что структура управления акционерным обществом сдвинута в сторону контактов между ключевыми участниками, а именно, банками и корпорациями.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Система в какой-то степени является противоречивой в отношении к мелким акционерам: с одной стороны, она позволяет им вносить предложения, с другой, позволяет корпорациям налагать ограничения на права голоса.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Процент иностранных инвесторов достаточно велик: в 1990 г. он составил 19%. Этот фактор постепенно начинает оказывать влияние на немецкую модель, т. к. иностранные инвесторы из стран Европейского Сообщества и других стран начинают защищать свои интересы. Распространение рынка капитала заставляет немецкие корпорации пересматривать свою политику. Когда корпорация Daimler-Benz AG решила зарегистрировать свои акции на Нью-йоркской фондовой бирже в 1993 г., она была вынуждена принять существующие общие стандарты финансовой отчетности США. Эти стандарты обеспечивают большую открытость по сравнению с немецкими. Так, Daimler-Benz AG вынуждена была отчитываться о крупных убытках, которые можно было бы скрыть, применяя немецкие принципы бухгалтерского учета.</w:t>
      </w:r>
    </w:p>
    <w:p w:rsidR="00515EA7" w:rsidRPr="00515EA7" w:rsidRDefault="00515EA7" w:rsidP="00515EA7">
      <w:pPr>
        <w:pStyle w:val="4"/>
        <w:jc w:val="center"/>
        <w:rPr>
          <w:sz w:val="24"/>
          <w:szCs w:val="24"/>
        </w:rPr>
      </w:pPr>
      <w:r w:rsidRPr="00515EA7">
        <w:rPr>
          <w:sz w:val="24"/>
          <w:szCs w:val="24"/>
        </w:rPr>
        <w:t>Ключевые участники немецкой модели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Немецкие банки и в меньшей степени немецкие корпорации являются ключевыми участниками в немецкой модели управления. Как и в японской модели, описанной ранее, банк играет несколько ролей: он выступает акционером и кредитором, эмитентом ценных бумаг и долговых обязательств, депозитарием и голосующим агентом на ежегодных общих собраниях акционеров. В 1990 г. три крупнейших немецких банка ("Deutsche Bank", "Dresdener Bank" и "Commerzbank") входили в наблюдательные советы 85 из 100 крупнейших немецких корпораций.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В Германии корпорации также являются акционерами и могут иметь долгосрочные вложения в других неаффилированных корпорациях, т. е. корпорациях, не принадлежащих к определенной группе связанных (коммерчески или промышленно) между собой корпораций. Подобный тип похож на японскую модель, но в корне отличается от англо-американской, где ни банки, ни корпорации не могут быть ключевыми институциональными инвесторами.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Включение представителей рабочих (служащих) в состав наблюдательного совета является дополнительным отличием немецкой модели от японской и англо-американской.</w:t>
      </w:r>
    </w:p>
    <w:p w:rsidR="00515EA7" w:rsidRPr="00515EA7" w:rsidRDefault="00515EA7" w:rsidP="00515EA7">
      <w:pPr>
        <w:pStyle w:val="4"/>
        <w:jc w:val="center"/>
        <w:rPr>
          <w:sz w:val="24"/>
          <w:szCs w:val="24"/>
        </w:rPr>
      </w:pPr>
      <w:r w:rsidRPr="00515EA7">
        <w:rPr>
          <w:sz w:val="24"/>
          <w:szCs w:val="24"/>
        </w:rPr>
        <w:t>Структура владения акциями в немецкой модели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Основными акционерами в Германии являются банки и корпорации. В 1990 г. корпорации владели 41% немецкого фондового рынка, и институциональные инвесторы (в основном, банки) – 27%. Институциональные агенты, такие как, например, пенсионные фонды (3%) или индивидуальные акционеры (4%) не играют важной роли в Германии. Иностранные инвесторы владели 19% рынка в 1990 г.; в настоящее время их влияние на немецкую систему управления акционерными обществами возрастает.</w:t>
      </w:r>
    </w:p>
    <w:p w:rsidR="00515EA7" w:rsidRPr="00515EA7" w:rsidRDefault="00515EA7" w:rsidP="00515EA7">
      <w:pPr>
        <w:pStyle w:val="4"/>
        <w:jc w:val="center"/>
        <w:rPr>
          <w:sz w:val="24"/>
          <w:szCs w:val="24"/>
        </w:rPr>
      </w:pPr>
      <w:r w:rsidRPr="00515EA7">
        <w:rPr>
          <w:sz w:val="24"/>
          <w:szCs w:val="24"/>
        </w:rPr>
        <w:t>Состав Правления ("Vorstand") и наблюдательного совета ("Aufsichtsrat") в немецкой модели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Двухпалатное правление – уникальная черта немецкой модели. Немецкие корпорации управляются наблюдательным советом и Правлением. Наблюдательный совет назначает и распускает Правление, утверждает решения руководства и дает рекомендации Правлению. Наблюдательный совет обычно проводит совещания раз в месяц. В Уставе корпорации оговариваются документы, требующие утверждения на наблюдательном совете. Правление несет ответственность за ежедневное руководство корпорацией.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Правление состоит исключительно из сотрудников корпорации. В наблюдательный совет входят только представители рабочих (служащих) и представители акционеров.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Состав и численность наблюдательного совета определяются Законами о промышленной демократии и о равноправии служащих; эти законы определяют также количество представителей, выбранных рабочими (служащими) и количество представителей, выбранных акционерами.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Численность наблюдательного совета устанавливается законом. В небольших корпорациях (численностью менее 500) акционеры избирают весь Наблюдательный совет. В средних корпорациях (размер корпорации зависит от размера фондов и средств и количества сотрудников) сотрудники избирают одну треть наблюдательного совета, состоящего из 9 чел. В больших корпорациях сотрудники избирают половину наблюдательного совета, состоящего из 20 чел.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Следует обратить внимание на то, что существуют два основных отличия немецкой модели от японской и англо-американской: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1. Численность наблюдательного совета устанавливается законом и не подлежит изменению.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2. В наблюдательный совет входят представители рабочих (служащих) корпорации.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Тот факт, что в наблюдательный совет не входят "инсайдеры" совсем не означает, что в него входят только "аутсайдеры". Членами наблюдательного совета, избираемого акционерами, обычно являются представители банков и корпораций, т. е. крупных акционеров. Было бы правильнее назвать их "аффилированными аутсайдерами".</w:t>
      </w:r>
    </w:p>
    <w:p w:rsidR="00515EA7" w:rsidRPr="00515EA7" w:rsidRDefault="00515EA7" w:rsidP="00515EA7">
      <w:pPr>
        <w:pStyle w:val="4"/>
        <w:jc w:val="center"/>
        <w:rPr>
          <w:sz w:val="24"/>
          <w:szCs w:val="24"/>
        </w:rPr>
      </w:pPr>
      <w:r w:rsidRPr="00515EA7">
        <w:rPr>
          <w:sz w:val="24"/>
          <w:szCs w:val="24"/>
        </w:rPr>
        <w:t>Законодательная база немецкой модели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В Германии существуют сильные федеральные традиции. Федеральные и местные (земельные) законы оказывают влияние на структуру управления акционерными обществами. Федеральные законы включают в себя законы об акционерных обществах, законы о фондовых биржах, коммерческие законы, а также перечисленные выше законы о составе наблюдательных советов. Однако, регулирование деятельности бирж является прерогативой местной власти. Федеральное агентство по ценным бумагам было создано в 1995 г. Оно и дополнило недостающий элемент немецкого законодательства.</w:t>
      </w:r>
    </w:p>
    <w:p w:rsidR="00515EA7" w:rsidRPr="00515EA7" w:rsidRDefault="00515EA7" w:rsidP="00515EA7">
      <w:pPr>
        <w:pStyle w:val="4"/>
        <w:jc w:val="center"/>
        <w:rPr>
          <w:sz w:val="24"/>
          <w:szCs w:val="24"/>
        </w:rPr>
      </w:pPr>
      <w:r w:rsidRPr="00515EA7">
        <w:rPr>
          <w:sz w:val="24"/>
          <w:szCs w:val="24"/>
        </w:rPr>
        <w:t>Требования к раскрытию информации в немецкой модели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В Германии разработаны достаточно строгие правила раскрытия информации, но менее жесткие, чем в США. Корпорации должны предоставлять в годовом отчете или на общих собраниях разнообразную информацию, включая финансовую (каждое полугодие), данные о структуре капитала, ограниченную информацию о каждом кандидате в наблюдательный совет (с указанием имени и фамилии, адреса, места работы и занимаемой должности), совокупную информацию о вознаграждениях, выплачиваемых членам Правления и наблюдательного совета, данные об акционерах, владеющих более 5% акций корпорации; информацию о возможном слиянии или реорганизации; предлагаемые поправки к Уставу; а также имена лиц или название корпораций, приглашаемых для аудиторской проверки.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Правила раскрытия информации в Германии отличаются от принятых в США. Например, финансовая информация сообщается раз в полгода, а не ежеквартально, как в США, предоставляются совокупные данные о вознаграждении директорам и менеджерам, в отличии от индивидуальных сведений в США, не сообщаются сведения о членах наблюдательного совета и их владении акциями корпорации. Кроме того, существуют заметные различия между немецкими и американскими стандартами бухгалтерской отчетности.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Основное отличие немецкой системы финансовой отчетности состоит в том, что немецким корпорациям разрешается иметь значительную нераспределенную прибыль, что позволяет корпорациям занижать свою стоимость.</w:t>
      </w:r>
    </w:p>
    <w:p w:rsidR="00515EA7" w:rsidRPr="00515EA7" w:rsidRDefault="00515EA7" w:rsidP="00515EA7">
      <w:pPr>
        <w:pStyle w:val="31"/>
        <w:spacing w:line="240" w:lineRule="auto"/>
        <w:rPr>
          <w:sz w:val="24"/>
          <w:szCs w:val="24"/>
        </w:rPr>
      </w:pPr>
      <w:r w:rsidRPr="00515EA7">
        <w:rPr>
          <w:sz w:val="24"/>
          <w:szCs w:val="24"/>
        </w:rPr>
        <w:t>До 1995 г. немецкие корпорации должны были оглашать имена лиц, владеющих более 25% акций корпорации. В 1995 г. этот предел был снижен до 5%, что совпадает с американскими стандартами.</w:t>
      </w:r>
    </w:p>
    <w:p w:rsidR="00515EA7" w:rsidRPr="00515EA7" w:rsidRDefault="00515EA7" w:rsidP="00515EA7">
      <w:pPr>
        <w:pStyle w:val="4"/>
        <w:rPr>
          <w:sz w:val="24"/>
          <w:szCs w:val="24"/>
        </w:rPr>
      </w:pPr>
      <w:r w:rsidRPr="00515EA7">
        <w:rPr>
          <w:sz w:val="24"/>
          <w:szCs w:val="24"/>
        </w:rPr>
        <w:t>Действия корпорации, требующие одобрения акционеров, в немецкой модели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Действия корпорации, требующие одобрения акционеров, – это распределение чистого дохода (выплата дивидендов, использование средств), ратификация решений Правления и наблюдательного совета за прошедший финансовый год, выборы наблюдательного совета, назначение аудиторов.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Утверждение решений исполнительного совета (Правления) и Наблюдательного совета по существу означает "печать одобрения" или "вотум доверия". Если акционеры хотят предпринять какие-либо юридические акции против отдельных членов или против Совета в целом, они откажутся от ратификации решений совета за прошедший год.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В отличие от англо-американской и японской моделей акционеры не имеют права изменять численность или состав Наблюдательного совета. Размер и состав совета устанавливаются законом.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Другими действиями, также требующими одобрения акционеров, являются: решение об осуществлении затрат (что автоматически признает преимущественные права, если только не отклоняется акционерами), сотрудничество с филиалами, поправки и изменения к Уставу (например, изменение утвержденного вида деятельности), повышение верхнего предела вознаграждения членам Наблюдательного совета. Внеочередные действия, требующие одобрения акционеров – это слияние, покупка контрольного пакета акций и реорганизация.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В Германии предложения акционеров – это обычное дело. После оглашения повестки дня ежегодного общего собрания акционеры могут подать в письменной форме предложения двух типов: контрпредложение, т. е. противоречащее предложению Правления и / или Наблюдательного совета, включенному в повестку дня. Оно может касаться увеличения или уменьшения размера дивидендов или например, представлять альтернативную кандидатуру в Наблюдательный совет. Предложение акционеров может содержать дополнение к повестке дня. Примеры предложений акционеров: альтернативные кандидатуры в Наблюдательный совет, проведение специального расследования или проверки, требование отменить ограничения на право голосования, рекомендации по изменению структуры капитала.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Если эти предложения удовлетворяют всем установленным требованиям, корпорация должна объявить о них и известить акционеров до начала собрания.</w:t>
      </w:r>
    </w:p>
    <w:p w:rsidR="00515EA7" w:rsidRPr="00515EA7" w:rsidRDefault="00515EA7" w:rsidP="00515EA7">
      <w:pPr>
        <w:pStyle w:val="4"/>
        <w:jc w:val="center"/>
        <w:rPr>
          <w:sz w:val="24"/>
          <w:szCs w:val="24"/>
        </w:rPr>
      </w:pPr>
      <w:r w:rsidRPr="00515EA7">
        <w:rPr>
          <w:sz w:val="24"/>
          <w:szCs w:val="24"/>
        </w:rPr>
        <w:t>Взаимодействие между участниками в немецкой модели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Существующая в Германии законодательная база учитывает интересы служащих, корпораций, банков и акционеров. О многогранной роли банков уже говорилось ранее. В целом система ориентирована на ключевых участников. Но, несмотря на это, немало внимания уделяется и мелким акционерам, например, допускаются вышеупомянутые предложения акционеров.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Однако, существуют определенные препятствия на пути участия акционеров в управлении, а именно в части полномочий банков как депозитариев и голосующих членов.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Большинство немецких акций – это акции на предъявителя (они не регистрируются). Корпорации, выпускающие такие акции, должны объявлять о ежегодных общих собраниях в государственных изданиях и направлять свои годовые отчеты и повестку дня в банк-депозитарий, который в свою очередь направляет эти материалы тем акционерам, которые в них заинтересованы. Такая процедура часто осложняет получение материалов иностранными акционерами.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В Германии большинство акционеров покупают акции через банк, и банки, будучи депозитариями, имеют право голосовать на собраниях. Процесс состоит в следующем: акционер дает банку доверенность, по которой банк имеет право голосовать в течение установленного срока – до 15 месяцев. Корпорация высылает повестку дня и годовой отчет в банк-депозитарий. Банк передает акционеру эти материалы, а также свои рекомендации по голосованию. В случае, если акционер не дает банку специальных инструкций по голосованию, банк вправе голосовать по своему усмотрению. Это ведет к потенциальному конфликту интересов между банком и акционером. Это также приводит к усилению банковского влияния при голосовании, поскольку не все акционеры дают банкам инструкции по голосованию, и банки голосуют по своему усмотрению. Но, поскольку число индивидуальных акционеров в Германии невелико, это не представляет особой проблемы, хотя, с другой стороны, это отражает "пробанковсвкую" и "антиакционерную" сторону системы.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Кроме того, узаконенные ограничения права голоса и невозможность голосования по почте также препятствуют участию акционеров в делах корпорации. Как уже упоминалось, акционеру нужно либо присутствовать на собрании лично, либо быть представленным своим банком-депозитарием.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  <w:r w:rsidRPr="00515EA7">
        <w:rPr>
          <w:sz w:val="24"/>
          <w:szCs w:val="24"/>
        </w:rPr>
        <w:t>Несмотря на эти препятствия, мелкие акционеры не исключаются из процесса и на собраниях часто вносят свои предложения против управляющих каждый год. В Австрии мелкие акционеры не столь активны. Может быть, потому, что австрийское правительство прямо или косвенно является крупным акционером в большинстве корпораций.</w:t>
      </w:r>
    </w:p>
    <w:p w:rsidR="00515EA7" w:rsidRPr="00515EA7" w:rsidRDefault="00515EA7" w:rsidP="00515EA7">
      <w:pPr>
        <w:jc w:val="both"/>
        <w:rPr>
          <w:sz w:val="24"/>
          <w:szCs w:val="24"/>
        </w:rPr>
      </w:pPr>
    </w:p>
    <w:p w:rsidR="00515EA7" w:rsidRPr="00515EA7" w:rsidRDefault="00515EA7" w:rsidP="00515EA7">
      <w:pPr>
        <w:jc w:val="center"/>
        <w:rPr>
          <w:b/>
          <w:bCs/>
          <w:i/>
          <w:iCs/>
          <w:sz w:val="24"/>
          <w:szCs w:val="24"/>
        </w:rPr>
      </w:pPr>
      <w:r w:rsidRPr="00515EA7">
        <w:rPr>
          <w:b/>
          <w:bCs/>
          <w:i/>
          <w:iCs/>
          <w:sz w:val="24"/>
          <w:szCs w:val="24"/>
        </w:rPr>
        <w:t>Список литературы:</w:t>
      </w:r>
    </w:p>
    <w:p w:rsidR="00515EA7" w:rsidRPr="00515EA7" w:rsidRDefault="00515EA7" w:rsidP="00515EA7">
      <w:pPr>
        <w:numPr>
          <w:ilvl w:val="0"/>
          <w:numId w:val="2"/>
        </w:numPr>
        <w:rPr>
          <w:sz w:val="24"/>
          <w:szCs w:val="24"/>
        </w:rPr>
      </w:pPr>
      <w:r w:rsidRPr="00515EA7">
        <w:rPr>
          <w:sz w:val="24"/>
          <w:szCs w:val="24"/>
        </w:rPr>
        <w:t> Ансофф И. Новая корпоративная стратегия. – СПб: Издательство "Питер", 1999.</w:t>
      </w:r>
    </w:p>
    <w:p w:rsidR="00515EA7" w:rsidRPr="00515EA7" w:rsidRDefault="00515EA7" w:rsidP="00515EA7">
      <w:pPr>
        <w:numPr>
          <w:ilvl w:val="0"/>
          <w:numId w:val="2"/>
        </w:numPr>
        <w:rPr>
          <w:sz w:val="24"/>
          <w:szCs w:val="24"/>
        </w:rPr>
      </w:pPr>
      <w:r w:rsidRPr="00515EA7">
        <w:rPr>
          <w:sz w:val="24"/>
          <w:szCs w:val="24"/>
        </w:rPr>
        <w:t> Ефремов В. С. Стратегия бизнеса. Концепции и методы планирования / Учебное пособие. – М.: Издательство "Финпресс", 1998.</w:t>
      </w:r>
    </w:p>
    <w:p w:rsidR="00515EA7" w:rsidRPr="00515EA7" w:rsidRDefault="00515EA7" w:rsidP="00515EA7">
      <w:pPr>
        <w:numPr>
          <w:ilvl w:val="0"/>
          <w:numId w:val="2"/>
        </w:numPr>
        <w:rPr>
          <w:sz w:val="24"/>
          <w:szCs w:val="24"/>
        </w:rPr>
      </w:pPr>
      <w:r w:rsidRPr="00515EA7">
        <w:rPr>
          <w:sz w:val="24"/>
          <w:szCs w:val="24"/>
        </w:rPr>
        <w:t>Мескон М. Х., Альберт М., Хедоури Ф. Основы менеджмента Пер. с англ. – М.: "Дело", 1992.</w:t>
      </w:r>
    </w:p>
    <w:p w:rsidR="00515EA7" w:rsidRPr="00515EA7" w:rsidRDefault="00515EA7" w:rsidP="00515EA7">
      <w:pPr>
        <w:numPr>
          <w:ilvl w:val="0"/>
          <w:numId w:val="2"/>
        </w:numPr>
        <w:rPr>
          <w:sz w:val="24"/>
          <w:szCs w:val="24"/>
        </w:rPr>
      </w:pPr>
      <w:r w:rsidRPr="00515EA7">
        <w:rPr>
          <w:sz w:val="24"/>
          <w:szCs w:val="24"/>
        </w:rPr>
        <w:t>Управление организацией: Учебник / Под ред. А. Г. Поршнева, З. П. Румянцевой, Н. А. Саломатина, М., ИНФРА-М, 1999.</w:t>
      </w:r>
      <w:bookmarkStart w:id="0" w:name="_GoBack"/>
      <w:bookmarkEnd w:id="0"/>
    </w:p>
    <w:sectPr w:rsidR="00515EA7" w:rsidRPr="00515EA7" w:rsidSect="00515EA7">
      <w:footerReference w:type="default" r:id="rId7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32C0" w:rsidRDefault="00C632C0">
      <w:r>
        <w:separator/>
      </w:r>
    </w:p>
  </w:endnote>
  <w:endnote w:type="continuationSeparator" w:id="0">
    <w:p w:rsidR="00C632C0" w:rsidRDefault="00C632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EA7" w:rsidRDefault="00437A02">
    <w:pPr>
      <w:pStyle w:val="a8"/>
      <w:framePr w:wrap="auto" w:vAnchor="text" w:hAnchor="margin" w:xAlign="center" w:y="1"/>
      <w:rPr>
        <w:rStyle w:val="aa"/>
      </w:rPr>
    </w:pPr>
    <w:r>
      <w:rPr>
        <w:rStyle w:val="aa"/>
        <w:noProof/>
      </w:rPr>
      <w:t>1</w:t>
    </w:r>
  </w:p>
  <w:p w:rsidR="00515EA7" w:rsidRDefault="00515E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32C0" w:rsidRDefault="00C632C0">
      <w:r>
        <w:separator/>
      </w:r>
    </w:p>
  </w:footnote>
  <w:footnote w:type="continuationSeparator" w:id="0">
    <w:p w:rsidR="00C632C0" w:rsidRDefault="00C632C0">
      <w:r>
        <w:continuationSeparator/>
      </w:r>
    </w:p>
  </w:footnote>
  <w:footnote w:id="1">
    <w:p w:rsidR="00C632C0" w:rsidRDefault="00515EA7">
      <w:pPr>
        <w:pStyle w:val="a4"/>
      </w:pPr>
      <w:r>
        <w:rPr>
          <w:rStyle w:val="a3"/>
          <w:rFonts w:ascii="Times New Roman CYR" w:hAnsi="Times New Roman CYR" w:cs="Times New Roman CYR"/>
          <w:sz w:val="20"/>
          <w:szCs w:val="20"/>
        </w:rPr>
        <w:footnoteRef/>
      </w:r>
      <w:r>
        <w:rPr>
          <w:rFonts w:ascii="Times New Roman CYR" w:hAnsi="Times New Roman CYR" w:cs="Times New Roman CYR"/>
          <w:sz w:val="20"/>
          <w:szCs w:val="20"/>
        </w:rPr>
        <w:t xml:space="preserve"> В немецком языке для обозначения корпорации употребляется термин "акционерное общество" (Aktiengesellschaft), поэтому, немецкие и австрийские корпорации используют сокращение AG после названия, например. Фольксваген АГ.</w:t>
      </w:r>
    </w:p>
  </w:footnote>
  <w:footnote w:id="2">
    <w:p w:rsidR="00C632C0" w:rsidRDefault="00515EA7">
      <w:pPr>
        <w:pStyle w:val="a4"/>
      </w:pPr>
      <w:r>
        <w:rPr>
          <w:rStyle w:val="a3"/>
          <w:rFonts w:ascii="Times New Roman CYR" w:hAnsi="Times New Roman CYR" w:cs="Times New Roman CYR"/>
          <w:sz w:val="20"/>
          <w:szCs w:val="20"/>
        </w:rPr>
        <w:footnoteRef/>
      </w:r>
      <w:r>
        <w:rPr>
          <w:rFonts w:ascii="Times New Roman CYR" w:hAnsi="Times New Roman CYR" w:cs="Times New Roman CYR"/>
          <w:sz w:val="20"/>
          <w:szCs w:val="20"/>
        </w:rPr>
        <w:t xml:space="preserve"> Еще в 1994 году приблизительно 10 крупнейших немецких корпораций и банков все еще имели ограничения при голосовании, хотя в последнее время в странах Европейского Сообщества наметилась тенденция к отмене этих ограничений.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7C0F175C"/>
    <w:multiLevelType w:val="singleLevel"/>
    <w:tmpl w:val="0C6621F2"/>
    <w:lvl w:ilvl="0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  <w:lvlOverride w:ilvl="0">
      <w:lvl w:ilvl="0">
        <w:start w:val="1"/>
        <w:numFmt w:val="bullet"/>
        <w:lvlText w:val=""/>
        <w:legacy w:legacy="1" w:legacySpace="0" w:legacyIndent="283"/>
        <w:lvlJc w:val="left"/>
        <w:pPr>
          <w:ind w:left="992" w:hanging="283"/>
        </w:pPr>
        <w:rPr>
          <w:rFonts w:ascii="Symbol" w:hAnsi="Symbol" w:cs="Symbol" w:hint="default"/>
        </w:rPr>
      </w:lvl>
    </w:lvlOverride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autoHyphenation/>
  <w:hyphenationZone w:val="357"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15EA7"/>
    <w:rsid w:val="00437A02"/>
    <w:rsid w:val="004A0572"/>
    <w:rsid w:val="00515EA7"/>
    <w:rsid w:val="00C632C0"/>
    <w:rsid w:val="00D46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7B484DF-8D3B-4F90-82EE-0FB3C710A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 w:unhideWhenUsed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center"/>
      <w:outlineLvl w:val="0"/>
    </w:pPr>
    <w:rPr>
      <w:b/>
      <w:bCs/>
      <w:i/>
      <w:iCs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pPr>
      <w:keepNext/>
      <w:spacing w:before="120" w:after="120"/>
      <w:ind w:firstLine="709"/>
      <w:jc w:val="both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ind w:firstLine="709"/>
      <w:jc w:val="both"/>
      <w:outlineLvl w:val="3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styleId="a3">
    <w:name w:val="footnote reference"/>
    <w:uiPriority w:val="99"/>
    <w:semiHidden/>
    <w:rPr>
      <w:vertAlign w:val="superscript"/>
    </w:rPr>
  </w:style>
  <w:style w:type="paragraph" w:styleId="a4">
    <w:name w:val="footnote text"/>
    <w:basedOn w:val="a"/>
    <w:link w:val="a5"/>
    <w:uiPriority w:val="99"/>
    <w:semiHidden/>
    <w:pPr>
      <w:ind w:firstLine="709"/>
      <w:jc w:val="both"/>
    </w:pPr>
    <w:rPr>
      <w:sz w:val="24"/>
      <w:szCs w:val="24"/>
    </w:rPr>
  </w:style>
  <w:style w:type="character" w:customStyle="1" w:styleId="a5">
    <w:name w:val="Текст сноски Знак"/>
    <w:link w:val="a4"/>
    <w:uiPriority w:val="99"/>
    <w:semiHidden/>
    <w:rPr>
      <w:sz w:val="20"/>
      <w:szCs w:val="20"/>
    </w:rPr>
  </w:style>
  <w:style w:type="paragraph" w:styleId="a6">
    <w:name w:val="Body Text"/>
    <w:basedOn w:val="a"/>
    <w:link w:val="a7"/>
    <w:uiPriority w:val="99"/>
    <w:pPr>
      <w:spacing w:line="360" w:lineRule="auto"/>
      <w:jc w:val="both"/>
    </w:pPr>
    <w:rPr>
      <w:sz w:val="24"/>
      <w:szCs w:val="24"/>
    </w:rPr>
  </w:style>
  <w:style w:type="character" w:customStyle="1" w:styleId="a7">
    <w:name w:val="Основной текст Знак"/>
    <w:link w:val="a6"/>
    <w:uiPriority w:val="99"/>
    <w:semiHidden/>
    <w:rPr>
      <w:sz w:val="20"/>
      <w:szCs w:val="20"/>
    </w:rPr>
  </w:style>
  <w:style w:type="paragraph" w:styleId="2">
    <w:name w:val="Body Text 2"/>
    <w:basedOn w:val="a"/>
    <w:link w:val="20"/>
    <w:uiPriority w:val="99"/>
    <w:rPr>
      <w:sz w:val="24"/>
      <w:szCs w:val="24"/>
    </w:rPr>
  </w:style>
  <w:style w:type="character" w:customStyle="1" w:styleId="20">
    <w:name w:val="Основной текст 2 Знак"/>
    <w:link w:val="2"/>
    <w:uiPriority w:val="99"/>
    <w:semiHidden/>
    <w:rPr>
      <w:sz w:val="20"/>
      <w:szCs w:val="20"/>
    </w:rPr>
  </w:style>
  <w:style w:type="paragraph" w:styleId="31">
    <w:name w:val="Body Text 3"/>
    <w:basedOn w:val="a"/>
    <w:link w:val="32"/>
    <w:uiPriority w:val="99"/>
    <w:pPr>
      <w:spacing w:line="360" w:lineRule="auto"/>
      <w:jc w:val="both"/>
    </w:pPr>
    <w:rPr>
      <w:i/>
      <w:iCs/>
    </w:rPr>
  </w:style>
  <w:style w:type="character" w:customStyle="1" w:styleId="32">
    <w:name w:val="Основной текст 3 Знак"/>
    <w:link w:val="31"/>
    <w:uiPriority w:val="99"/>
    <w:semiHidden/>
    <w:rPr>
      <w:sz w:val="16"/>
      <w:szCs w:val="16"/>
    </w:rPr>
  </w:style>
  <w:style w:type="paragraph" w:styleId="a8">
    <w:name w:val="footer"/>
    <w:basedOn w:val="a"/>
    <w:link w:val="a9"/>
    <w:uiPriority w:val="99"/>
    <w:pPr>
      <w:tabs>
        <w:tab w:val="center" w:pos="4153"/>
        <w:tab w:val="right" w:pos="8306"/>
      </w:tabs>
    </w:pPr>
  </w:style>
  <w:style w:type="character" w:customStyle="1" w:styleId="a9">
    <w:name w:val="Нижний колонтитул Знак"/>
    <w:link w:val="a8"/>
    <w:uiPriority w:val="99"/>
    <w:semiHidden/>
    <w:rPr>
      <w:sz w:val="20"/>
      <w:szCs w:val="20"/>
    </w:rPr>
  </w:style>
  <w:style w:type="character" w:styleId="aa">
    <w:name w:val="page number"/>
    <w:uiPriority w:val="99"/>
  </w:style>
  <w:style w:type="paragraph" w:styleId="ab">
    <w:name w:val="Title"/>
    <w:basedOn w:val="a"/>
    <w:link w:val="ac"/>
    <w:uiPriority w:val="99"/>
    <w:qFormat/>
    <w:pPr>
      <w:jc w:val="center"/>
    </w:pPr>
    <w:rPr>
      <w:spacing w:val="20"/>
      <w:sz w:val="24"/>
      <w:szCs w:val="24"/>
    </w:rPr>
  </w:style>
  <w:style w:type="character" w:customStyle="1" w:styleId="ac">
    <w:name w:val="Название Знак"/>
    <w:link w:val="ab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10340</Words>
  <Characters>5894</Characters>
  <Application>Microsoft Office Word</Application>
  <DocSecurity>0</DocSecurity>
  <Lines>49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Немецкая модель </vt:lpstr>
    </vt:vector>
  </TitlesOfParts>
  <Company>Home Computer Ltd.</Company>
  <LinksUpToDate>false</LinksUpToDate>
  <CharactersWithSpaces>16202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Немецкая модель </dc:title>
  <dc:subject/>
  <dc:creator>Nick &amp; Fred</dc:creator>
  <cp:keywords/>
  <dc:description/>
  <cp:lastModifiedBy>admin</cp:lastModifiedBy>
  <cp:revision>2</cp:revision>
  <dcterms:created xsi:type="dcterms:W3CDTF">2014-01-27T13:15:00Z</dcterms:created>
  <dcterms:modified xsi:type="dcterms:W3CDTF">2014-01-27T13:15:00Z</dcterms:modified>
</cp:coreProperties>
</file>