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08" w:rsidRPr="00597054" w:rsidRDefault="000D2608" w:rsidP="000D2608">
      <w:pPr>
        <w:spacing w:before="120"/>
        <w:jc w:val="center"/>
        <w:rPr>
          <w:b/>
          <w:bCs/>
          <w:sz w:val="32"/>
          <w:szCs w:val="32"/>
        </w:rPr>
      </w:pPr>
      <w:r w:rsidRPr="00597054">
        <w:rPr>
          <w:b/>
          <w:bCs/>
          <w:sz w:val="32"/>
          <w:szCs w:val="32"/>
        </w:rPr>
        <w:t>Немецкий язык как иностранный: современные исследования в теории и практике</w:t>
      </w:r>
    </w:p>
    <w:p w:rsidR="000D2608" w:rsidRPr="00597054" w:rsidRDefault="000D2608" w:rsidP="000D2608">
      <w:pPr>
        <w:spacing w:before="120"/>
        <w:ind w:firstLine="567"/>
        <w:jc w:val="both"/>
        <w:rPr>
          <w:sz w:val="28"/>
          <w:szCs w:val="28"/>
        </w:rPr>
      </w:pPr>
      <w:r w:rsidRPr="00597054">
        <w:rPr>
          <w:sz w:val="28"/>
          <w:szCs w:val="28"/>
        </w:rPr>
        <w:t>И.В.Козина, С.Ю.Потапова, М.В.Федотова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Предлагаемое сообщение имеет целью обзор учебных материалов масштабного проекта “Немецкий язык как иностранный и германистика”, осуществляемого немецким институтом заочного обучения при университете г. Тюбингена ,университетом г. Касселя, Институтом им. Гёте при содействии немецкой службы академических обменов и центрального бюро по делам школьного образования за рубежом. Эти учебные материалы, подготовленные ведущими немецкими научными силами, обращены ко всем заинтересованным в самообразовании и повышении квалификации в области преподавания немецкого языка как иностранного внутри страны и за рубежом. Они собраны в более чем 20-ти томах, посвящённых отдельным аспектам в преподавании немецкого языка как иностранного и представляют в концентрированном виде теоретические посылки излагаемой в каждом из томов проблематики, практические задания, ключи к их решению, терминологический словарь, список литературы и источники.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Первое знакомство с отдельными учебными материалами представляемой серии у авторов данного сообщения произошло на семинарах, организованных лектором Института им. Гёте Хайде Фаридани для преподавателей немецкого языка высших учебных заведений г. Ярославля в 1996-97 гг. Уникальная возможность ознакомления с актуальной ситуацией в области методов и приёмов преподавания немецкого языка как иностранного появляется теперь и у учителей области. Её даёт начавшаяся на кафедре немецкого языка ЯГПУ им. К. Д. Ушинского программа повышения квалификации учителей, действующая в рамках проекта Института им. Гёте.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Авторы ставили перед собой цель сделать обзор томов, посвященных общим принципам преподавания немецкого как иностранного и развитию основных навыков владения иностранным языком. Этой проблематике посвящены том 4 “Методы преподавания немецкого языка как иностранного” авторов Герхарда Нойнера и Ханса Хунфельда (1) и том 5 “Навык аудирования” Барбары Дальхаус (2).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Своё представление известных методов обучения иностранным языкам Г.Нойнер и X. Хунфельд начинают с анализа факторов, влияющих на развитие новых методик и направлений в обучении иностранным языкам, среди которых выделяются блоки следующих уровней: 1) общественного и культурного, 2) общепедагогического, 3) предметного и 4) обучения на профессиональной основе.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>Само понятие “метод/методика” имеет в специальной литературе более узкое и более широкое толкование. Первое касается конкретного процесса преподавания предмета (как обучать); второе, для которого в ФРГ в 60-х годах закрепилось обозначение дидактика, охватывает факторы выбора учебного</w:t>
      </w:r>
      <w:r>
        <w:t xml:space="preserve"> </w:t>
      </w:r>
      <w:bookmarkStart w:id="0" w:name="BITSoft"/>
      <w:bookmarkEnd w:id="0"/>
      <w:r w:rsidRPr="00CF4368">
        <w:t xml:space="preserve">материала, его прогрессию, цели и содержание предлагаемого учебного материала (чему обучать).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Согласно данным критериям в истории развития методов обучения и преподавания иностранных языков сложились следующие понятия: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грамматико-переводной метод;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прямой метод;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аудиолингвальный и аудиовизуальный методы;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коммуникативный метод;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интеркультурный подход в обучении иностранному языку.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Все учебники и учебные пособия по иностранным языкам могут быть проанализированы на предмет отнесения их к какому-либо из упомянутых методов. Объектами такого анализа будут являться: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тексты параграфов;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предъявление грамматики;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построение и содержание упражнений;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строение параграфа;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прогрессия учебного материала.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Каждый из методов обучения иностранным языкам получает своё представление и анализ на страницах учебного пособия. Авторы данного обзора исходят из того, что отечественным специалистам в области преподавания немецкого языка и всем когда-либо его изучавшим наиболее известным является грамматико-переводной, основополагающие черты которого заключены уже в самом названии.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Языковая коммуникация невозможна без чёткого взаимодействия основных видов речевой деятельности – чтения, письма, говорения и аудирования . На фоне этого неоспоримого факта особо ощутимо недостаточное внимание со стороны исследователей в области методики и дидактики преподавания иностранного языка к проблемам, связанным с теоретическим осмыслением механизмов восприятия иноязычной речи на слух, систематического обучения и тренировки навыков аудирования.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Даже краткий экскурс в историю методики и дидактики преподавания иностранного языка позволяет убедиться в том, что в период господства грамматико-переводного метода аудирование сводилось к восприятию на слух речи учителя, а с появлением аудио-лингвального и аудиовизуального методов ограничилось прослушиванием текстов на иностранном языке в звуколаборатории с последующими ответами на вопросы об услышанном и выполнением упражнений, получивших в дидактике обозначение pattern drill . Только лишь появление в 70-е годы коммуникативного метода преподавания иностранного языка изменило отношение к аудированию, определив ориентиры для разработки системы упражнений, тренирующих восприятие иноязычной речи ( 3 ).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Приблизительно в то же время появились учебники немецкого языка, построенные на основе коммуникативного метода и предлагающие систематическую работу по тренировке навыков понимания иноязычной речи на слух ( 4 ).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Берём на себя смелость утверждать, что и в практике работы с текстами для аудирования на факультетах иностранных языков использовались все те же, традиционные для грамматико-переводного метода, формы презентации текста и его контроля путем пересказа, ответов на вопросы, письменного изложения услышанного.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Очевидный с позиций сегодняшнего дня парадокс заключается в том, что таким образом проверялся не навык восприятия иностранной речи на слух, а навыки говорения или письма.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Настало время задуматься над самим феноменом аудирования, над видами используемых в условиях коммуникативного метода текстов, над целевыми установками для прослушивания и, наконец, над видами упражнений, целесообразных для использования на различных этапах обучения аудированию. На эти и другие вопросы даёт ответы том 5 серии учебных материалов для заочного обучения “Навык аудирования” Барбары Дальхаус . Коммуникативная дидактика выдвинула на передний план необходимость использования в качестве материалов для аудирования текстов в их естественной языковой ситуации: объявлений на вокзале, в транспорте, телефонных разговоров, рекламных объявлений по радио и так далее. В связи с этим поменялись и целевые установки при восприятии информации на слух. Практика контроля прослушанного с помощью пересказа порочна еще и потому, что проверяет не способность понимать на слух, а возможности памяти, не делая скидку на то обстоятельство, что при пересказе текст не всегда может быть воспроизведен в полном объеме, даже если и был полностью понят. Барбара Дальхаус выделяет следующие основные виды аудирования в зависимости от цели, которая ставится перед слушателем: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глобальное, оно же курсивное (global, kursorisch), когда важно понять основное содержание текста, не вникая в детали;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селективное, оно же экстенсивное (selektiv, extensiv), когда важна лишь определенная информация, а другая не имеет принципиального характера (например, сообщения о погоде для определенного региона, объявления о прибытии/отправлении поезда какого-то направления);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интенсивное (тотальное), когда важно каждое слово (например, рецепт блюда).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В зависимости от этого находится и система упражнений, целесообразных для того или иного вида аудирования. Различают упражнения: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предшествующие тексту;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выполняемые в процессе прослушивания;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следующие за текстом.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Следует заметить, что выполнение упражнений первой группы в наибольшей степени может влиять на процесс понимания предлагаемого текста. На этом этапе рекомендуется составление ассоциограмм, использование визуальных импульсов (фотографий, рисунков), акустических эффектов ( характерных шумов, музыки), упражнений на соотнесение рисунков с текстом, а также упражнения типа Bildsalat ( винегрет из картинок). При выполнении упражнений второй группы управление процессом прослушивания возможно лишь частично. Наиболее распространенными из этой серии являются упражнения на внесение определенных данных в заранее подготовленную таблицу (Raster), заполнение на основании прослушанного пропусков в тексте (Lueckentext), подчеркивание использованных в тексте слов в предварительно подготовленном списке (Wortliste), восстановление последовательности прослушанного, написание так называемого визуального диктанта (visuelles Diktat), когда выполняется рисунок в соответствии с текстом для аудирования.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Выполнение упражнений третьей группы совсем не влияет на процесс восприятия, а служит лишь для контроля прослушанного. Проверить правильность понимания текста на слух можно именно с помощью упражнений рецептивного характера: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ответы на вопросы с помощью да/нет (правильно /неправильно) 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упражнение типа multiple-choice, когда из нескольких вариантов ответа выбирается правильный;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ответы на вопросы (так называемые W-Fragen).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Упражнения последней группы предназначены именно для контроля прослушанного, когда проверяется навык восприятия иноязычной речи на слух. Возникающее впечатление о механическом характере упражнений третьей группы обманчиво, ибо однократное прослушивание текста, как показывают эксперименты, создает немалые сложности даже для носителей языка. </w:t>
      </w:r>
    </w:p>
    <w:p w:rsidR="000D2608" w:rsidRPr="00CF4368" w:rsidRDefault="000D2608" w:rsidP="000D2608">
      <w:pPr>
        <w:spacing w:before="120"/>
        <w:ind w:firstLine="567"/>
        <w:jc w:val="both"/>
      </w:pPr>
      <w:r w:rsidRPr="00CF4368">
        <w:t xml:space="preserve">Изложенное можно проиллюстрировать на примере фрагмента апробированного урока, задача которого заключалась в развитии навыка аудирования у изучающих немецкий язык как иностранный на начальной ступени. </w:t>
      </w:r>
    </w:p>
    <w:p w:rsidR="000D2608" w:rsidRDefault="000D2608" w:rsidP="000D2608">
      <w:pPr>
        <w:spacing w:before="120"/>
        <w:ind w:firstLine="567"/>
        <w:jc w:val="both"/>
      </w:pPr>
      <w:r w:rsidRPr="00CF4368">
        <w:t xml:space="preserve">Текст, предлагаемый для аудирования, заимствован из учебного комплекса “Hoeren Sie mal!” (5) ,урок 3 “Wir haben jetzt ein Haus in Okarben” и представляет собой аутентичный материал, а именно диалог, участниками которого являются носители немецкого языка. Содержание диалога и форма его презентации реально воспроизводят ситуацию из повседневной жизни в ФРГ. В этом состоит специфика и определенная степень сложности при восприятии текста на слух. Серия предлагаемых авторами данной статьи упражнений дополняет методические рекомендации и нацелена на формирование умения вычленять из потока звучащей речи ключевую информацию, что является необходимым условием языковой компетенции. </w:t>
      </w:r>
      <w:r>
        <w:t xml:space="preserve"> </w:t>
      </w:r>
    </w:p>
    <w:p w:rsidR="000D2608" w:rsidRPr="00CF4368" w:rsidRDefault="000D2608" w:rsidP="000D2608">
      <w:pPr>
        <w:spacing w:before="120"/>
        <w:ind w:firstLine="567"/>
        <w:jc w:val="both"/>
        <w:rPr>
          <w:lang w:val="en-US"/>
        </w:rPr>
      </w:pPr>
      <w:r w:rsidRPr="00CF4368">
        <w:rPr>
          <w:lang w:val="en-US"/>
        </w:rPr>
        <w:t xml:space="preserve">1. Kreuzen Sie das Richtige an.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a. Eva faehrt morgen in Urlaub nach Italien.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b. Karin ist furchtbar im Stress.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c. Karin ist umgezogen.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2. Welches Bild passt? </w:t>
      </w:r>
    </w:p>
    <w:p w:rsidR="000D2608" w:rsidRPr="00CF4368" w:rsidRDefault="00C1267A" w:rsidP="000D260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10.25pt">
            <v:imagedata r:id="rId4" o:title=""/>
          </v:shape>
        </w:pict>
      </w:r>
    </w:p>
    <w:p w:rsidR="000D2608" w:rsidRPr="00CF4368" w:rsidRDefault="00C1267A" w:rsidP="000D2608">
      <w:pPr>
        <w:spacing w:before="120"/>
        <w:ind w:firstLine="567"/>
        <w:jc w:val="both"/>
      </w:pPr>
      <w:r>
        <w:pict>
          <v:shape id="_x0000_i1026" type="#_x0000_t75" style="width:142.5pt;height:103.5pt">
            <v:imagedata r:id="rId5" o:title=""/>
          </v:shape>
        </w:pic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3. Wo ist das Untergeschoss / das Dachgeschoss? </w:t>
      </w:r>
    </w:p>
    <w:p w:rsidR="000D2608" w:rsidRPr="00597054" w:rsidRDefault="00C1267A" w:rsidP="000D2608">
      <w:pPr>
        <w:spacing w:before="120"/>
        <w:ind w:firstLine="567"/>
        <w:jc w:val="both"/>
        <w:rPr>
          <w:lang w:val="en-US"/>
        </w:rPr>
      </w:pPr>
      <w:r>
        <w:pict>
          <v:shape id="_x0000_i1027" type="#_x0000_t75" style="width:144.75pt;height:138pt">
            <v:imagedata r:id="rId6" o:title=""/>
          </v:shape>
        </w:pict>
      </w:r>
      <w:r w:rsidR="000D2608" w:rsidRPr="00597054">
        <w:rPr>
          <w:lang w:val="en-US"/>
        </w:rPr>
        <w:t xml:space="preserve"> </w:t>
      </w:r>
      <w:r>
        <w:pict>
          <v:shape id="_x0000_i1028" type="#_x0000_t75" style="width:144.75pt;height:147pt">
            <v:imagedata r:id="rId7" o:title=""/>
          </v:shape>
        </w:pic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4.Wie heissen die Zimmer im Untergeschoss und im Dachgeschoss?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A.______________ a.________________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B.______________ b.________________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C.______________ c.________________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D.______________ d.________________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5. Was gibt es vor dem Haus?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a. eine Garage b.einen Spieplatz </w:t>
      </w:r>
      <w:r w:rsidRPr="00CF4368">
        <w:t>с</w:t>
      </w:r>
      <w:r w:rsidRPr="00597054">
        <w:rPr>
          <w:lang w:val="en-US"/>
        </w:rPr>
        <w:t xml:space="preserve">. einen Garten </w:t>
      </w:r>
    </w:p>
    <w:p w:rsidR="000D2608" w:rsidRDefault="000D2608" w:rsidP="000D2608">
      <w:pPr>
        <w:spacing w:before="120"/>
        <w:ind w:firstLine="567"/>
        <w:jc w:val="both"/>
      </w:pPr>
      <w:r w:rsidRPr="00CF4368">
        <w:t xml:space="preserve">6. Was passt zusammen? </w:t>
      </w:r>
      <w:r>
        <w:t xml:space="preserve"> </w:t>
      </w:r>
    </w:p>
    <w:p w:rsidR="000D2608" w:rsidRPr="00CF4368" w:rsidRDefault="000D2608" w:rsidP="000D2608">
      <w:pPr>
        <w:spacing w:before="120"/>
        <w:ind w:firstLine="567"/>
        <w:jc w:val="both"/>
      </w:pPr>
    </w:p>
    <w:tbl>
      <w:tblPr>
        <w:tblW w:w="8520" w:type="dxa"/>
        <w:tblCellSpacing w:w="15" w:type="dxa"/>
        <w:tblInd w:w="-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5"/>
        <w:gridCol w:w="2830"/>
        <w:gridCol w:w="2845"/>
      </w:tblGrid>
      <w:tr w:rsidR="000D2608" w:rsidRPr="00CF4368" w:rsidTr="00090FB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08" w:rsidRPr="00CF4368" w:rsidRDefault="000D2608" w:rsidP="00090FB1">
            <w:pPr>
              <w:spacing w:before="120"/>
              <w:ind w:firstLine="567"/>
              <w:jc w:val="both"/>
            </w:pPr>
            <w:r w:rsidRPr="00CF4368">
              <w:t>Karin hat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08" w:rsidRPr="00597054" w:rsidRDefault="000D2608" w:rsidP="00090FB1">
            <w:pPr>
              <w:spacing w:before="120"/>
              <w:ind w:firstLine="567"/>
              <w:jc w:val="both"/>
              <w:rPr>
                <w:lang w:val="en-US"/>
              </w:rPr>
            </w:pPr>
            <w:r w:rsidRPr="00597054">
              <w:rPr>
                <w:lang w:val="en-US"/>
              </w:rPr>
              <w:t xml:space="preserve">einen Schrank </w:t>
            </w:r>
          </w:p>
          <w:p w:rsidR="000D2608" w:rsidRPr="00597054" w:rsidRDefault="000D2608" w:rsidP="00090FB1">
            <w:pPr>
              <w:spacing w:before="120"/>
              <w:ind w:firstLine="567"/>
              <w:jc w:val="both"/>
              <w:rPr>
                <w:lang w:val="en-US"/>
              </w:rPr>
            </w:pPr>
            <w:r w:rsidRPr="00597054">
              <w:rPr>
                <w:lang w:val="en-US"/>
              </w:rPr>
              <w:t xml:space="preserve">einen Tisch </w:t>
            </w:r>
          </w:p>
          <w:p w:rsidR="000D2608" w:rsidRPr="00597054" w:rsidRDefault="000D2608" w:rsidP="00090FB1">
            <w:pPr>
              <w:spacing w:before="120"/>
              <w:ind w:firstLine="567"/>
              <w:jc w:val="both"/>
              <w:rPr>
                <w:lang w:val="en-US"/>
              </w:rPr>
            </w:pPr>
            <w:r w:rsidRPr="00597054">
              <w:rPr>
                <w:lang w:val="en-US"/>
              </w:rPr>
              <w:t xml:space="preserve">einen Teppich </w:t>
            </w:r>
          </w:p>
          <w:p w:rsidR="000D2608" w:rsidRPr="00CF4368" w:rsidRDefault="000D2608" w:rsidP="00090FB1">
            <w:pPr>
              <w:spacing w:before="120"/>
              <w:ind w:firstLine="567"/>
              <w:jc w:val="both"/>
            </w:pPr>
            <w:r w:rsidRPr="00CF4368">
              <w:t xml:space="preserve">Stuehle </w:t>
            </w:r>
          </w:p>
          <w:p w:rsidR="000D2608" w:rsidRPr="00CF4368" w:rsidRDefault="000D2608" w:rsidP="00090FB1">
            <w:pPr>
              <w:spacing w:before="120"/>
              <w:ind w:firstLine="567"/>
              <w:jc w:val="both"/>
            </w:pPr>
            <w:r w:rsidRPr="00CF4368">
              <w:t>eine Couch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2608" w:rsidRPr="00597054" w:rsidRDefault="000D2608" w:rsidP="00090FB1">
            <w:pPr>
              <w:spacing w:before="120"/>
              <w:ind w:firstLine="567"/>
              <w:jc w:val="both"/>
              <w:rPr>
                <w:lang w:val="en-US"/>
              </w:rPr>
            </w:pPr>
            <w:r w:rsidRPr="00597054">
              <w:rPr>
                <w:lang w:val="en-US"/>
              </w:rPr>
              <w:t xml:space="preserve">fuers Wohnzimmer – gekauft. </w:t>
            </w:r>
          </w:p>
          <w:p w:rsidR="000D2608" w:rsidRPr="00597054" w:rsidRDefault="000D2608" w:rsidP="00090FB1">
            <w:pPr>
              <w:spacing w:before="120"/>
              <w:ind w:firstLine="567"/>
              <w:jc w:val="both"/>
              <w:rPr>
                <w:lang w:val="en-US"/>
              </w:rPr>
            </w:pPr>
            <w:r w:rsidRPr="00597054">
              <w:rPr>
                <w:lang w:val="en-US"/>
              </w:rPr>
              <w:t xml:space="preserve">fuers Esszimmer </w:t>
            </w:r>
          </w:p>
          <w:p w:rsidR="000D2608" w:rsidRPr="00597054" w:rsidRDefault="000D2608" w:rsidP="00090FB1">
            <w:pPr>
              <w:spacing w:before="120"/>
              <w:ind w:firstLine="567"/>
              <w:jc w:val="both"/>
              <w:rPr>
                <w:lang w:val="en-US"/>
              </w:rPr>
            </w:pPr>
            <w:r w:rsidRPr="00597054">
              <w:rPr>
                <w:lang w:val="en-US"/>
              </w:rPr>
              <w:t xml:space="preserve">fuer 2 Kinderzimmer </w:t>
            </w:r>
          </w:p>
          <w:p w:rsidR="000D2608" w:rsidRPr="00CF4368" w:rsidRDefault="000D2608" w:rsidP="00090FB1">
            <w:pPr>
              <w:spacing w:before="120"/>
              <w:ind w:firstLine="567"/>
              <w:jc w:val="both"/>
            </w:pPr>
            <w:r w:rsidRPr="00CF4368">
              <w:t>fuer den Flur</w:t>
            </w:r>
          </w:p>
        </w:tc>
      </w:tr>
    </w:tbl>
    <w:p w:rsidR="000D2608" w:rsidRPr="00CF4368" w:rsidRDefault="000D2608" w:rsidP="000D2608">
      <w:pPr>
        <w:spacing w:before="120"/>
        <w:ind w:firstLine="567"/>
        <w:jc w:val="both"/>
      </w:pPr>
      <w:r>
        <w:t xml:space="preserve">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7. Wie sind die Moebel und die Sachen? Ergaenzen Sie die aus den Saetzen gefallenen Woerter.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a. Der Teppich ist ... . b. Der Tisch ist ... 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c. Die Stuehle sind ... . d. Der Schrank ist ... 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>e. Die Couch ist ... . f. Die Moebel sind ... .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(praktisch, neu, toll, bequem, schoen, gemuetlich, gross)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8. Was gehoert zusammen?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Okarben? Wo liegt das?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Und das Haus ist das ein altes Bauernhaus?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Koennt ihr euch das denn leisten? So ein Haus ist doch bestimmt sehr teuer?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Nein, kein altes Haus. Das ist ja so unbequem.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Na ja, schon, das Haus kostet 295 000 Mark. </w:t>
      </w:r>
    </w:p>
    <w:p w:rsidR="000D2608" w:rsidRPr="00CF4368" w:rsidRDefault="000D2608" w:rsidP="000D2608">
      <w:pPr>
        <w:spacing w:before="120"/>
        <w:ind w:firstLine="567"/>
        <w:jc w:val="both"/>
        <w:rPr>
          <w:lang w:val="en-US"/>
        </w:rPr>
      </w:pPr>
      <w:r w:rsidRPr="00CF4368">
        <w:rPr>
          <w:lang w:val="en-US"/>
        </w:rPr>
        <w:t xml:space="preserve">Das liegt hinter Bad Vilbel, etwa 15 Kilometer von Frankfurt.  </w:t>
      </w:r>
    </w:p>
    <w:p w:rsidR="000D2608" w:rsidRPr="00597054" w:rsidRDefault="000D2608" w:rsidP="000D2608">
      <w:pPr>
        <w:spacing w:before="120"/>
        <w:jc w:val="center"/>
        <w:rPr>
          <w:b/>
          <w:bCs/>
          <w:sz w:val="28"/>
          <w:szCs w:val="28"/>
        </w:rPr>
      </w:pPr>
      <w:r w:rsidRPr="00597054">
        <w:rPr>
          <w:b/>
          <w:bCs/>
          <w:sz w:val="28"/>
          <w:szCs w:val="28"/>
        </w:rPr>
        <w:t xml:space="preserve">Список литературы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>G</w:t>
      </w:r>
      <w:r w:rsidRPr="00597054">
        <w:t xml:space="preserve">. </w:t>
      </w:r>
      <w:r w:rsidRPr="00597054">
        <w:rPr>
          <w:lang w:val="en-US"/>
        </w:rPr>
        <w:t>Neuner</w:t>
      </w:r>
      <w:r w:rsidRPr="00597054">
        <w:t xml:space="preserve">, </w:t>
      </w:r>
      <w:r w:rsidRPr="00597054">
        <w:rPr>
          <w:lang w:val="en-US"/>
        </w:rPr>
        <w:t>H</w:t>
      </w:r>
      <w:r w:rsidRPr="00597054">
        <w:t xml:space="preserve">. </w:t>
      </w:r>
      <w:r w:rsidRPr="00597054">
        <w:rPr>
          <w:lang w:val="en-US"/>
        </w:rPr>
        <w:t>Hunfeld</w:t>
      </w:r>
      <w:r w:rsidRPr="00597054">
        <w:t xml:space="preserve">. </w:t>
      </w:r>
      <w:r w:rsidRPr="00597054">
        <w:rPr>
          <w:lang w:val="en-US"/>
        </w:rPr>
        <w:t xml:space="preserve">Methoden des fremdsprachlichen Deutschunterrichts. Eine Einfuehrung. Berlin/Muenchen: Langenscheidt, 1993.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B.Dahlhaus. Fertigkeit Hoeren. Berlin / Muenchen: Langenscheidt, 1994.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G. Neuner u.a. Uebungstypologie zum kommunikativen Deutschunterricht. Berlin / Muenchen:Langenscheidt, 1981.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597054">
        <w:rPr>
          <w:lang w:val="en-US"/>
        </w:rPr>
        <w:t xml:space="preserve">G. Neuner u.a. Deutsch aktiv. Berlin/Muenchen: Langenscheidt, 1979. </w:t>
      </w:r>
    </w:p>
    <w:p w:rsidR="000D2608" w:rsidRPr="00597054" w:rsidRDefault="000D2608" w:rsidP="000D2608">
      <w:pPr>
        <w:spacing w:before="120"/>
        <w:ind w:firstLine="567"/>
        <w:jc w:val="both"/>
        <w:rPr>
          <w:lang w:val="en-US"/>
        </w:rPr>
      </w:pPr>
      <w:r w:rsidRPr="00CF4368">
        <w:t>С</w:t>
      </w:r>
      <w:r w:rsidRPr="00597054">
        <w:rPr>
          <w:lang w:val="en-US"/>
        </w:rPr>
        <w:t xml:space="preserve">.Huemmler-Hille, E.von Jan. Hoeren Sie mal! Uebungen zum Hoerverstehen.Ismaning: Max Hueber, 1997. </w:t>
      </w:r>
    </w:p>
    <w:p w:rsidR="00B42C45" w:rsidRDefault="00B42C45">
      <w:bookmarkStart w:id="1" w:name="_GoBack"/>
      <w:bookmarkEnd w:id="1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608"/>
    <w:rsid w:val="00090FB1"/>
    <w:rsid w:val="000D2608"/>
    <w:rsid w:val="0056143A"/>
    <w:rsid w:val="00597054"/>
    <w:rsid w:val="00616072"/>
    <w:rsid w:val="006A5004"/>
    <w:rsid w:val="008B35EE"/>
    <w:rsid w:val="00A339FB"/>
    <w:rsid w:val="00B42C45"/>
    <w:rsid w:val="00B47B6A"/>
    <w:rsid w:val="00C1267A"/>
    <w:rsid w:val="00CF4368"/>
    <w:rsid w:val="00E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7A07BF3-B5C3-4703-8C90-F1029E66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D2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Немецкий язык как иностранный: современные исследования в теории и практике</vt:lpstr>
    </vt:vector>
  </TitlesOfParts>
  <Company>Home</Company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Немецкий язык как иностранный: современные исследования в теории и практике</dc:title>
  <dc:subject/>
  <dc:creator>User</dc:creator>
  <cp:keywords/>
  <dc:description/>
  <cp:lastModifiedBy>admin</cp:lastModifiedBy>
  <cp:revision>2</cp:revision>
  <dcterms:created xsi:type="dcterms:W3CDTF">2014-02-15T07:23:00Z</dcterms:created>
  <dcterms:modified xsi:type="dcterms:W3CDTF">2014-02-15T07:23:00Z</dcterms:modified>
</cp:coreProperties>
</file>