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378" w:rsidRDefault="00495378" w:rsidP="00495378">
      <w:pPr>
        <w:pStyle w:val="a3"/>
      </w:pPr>
      <w:r>
        <w:t>Конечной, или, если можно так сказать, идеальной, целью любого лекарственного лечения для врачаявляется выздоровление либо существенное улучшение качества жизни больного. Взвешенная оценка возможностей фармакотерапии в каждом конкретном случаеобеспечивает в значительной мере успех лечения. Особенно возрастает значение продуманного подхода к назначению лекарственных средств для пациентовгеронтологического профиля.</w:t>
      </w:r>
      <w:r>
        <w:br/>
        <w:t xml:space="preserve">К настоящему времени выделение геронтологического направленияв медицинской практике в целом и в психиатрии, в частности, является не только научно обоснованным, но и подтверждено клиническим опытом. Появление такоймедицинской дисциплины, как геронтопсихиатрия, не только не сузило наши теоретические представления и методы курации пожилых пациентов, но, наоборот,помогло более взвешенно, с учетом факторов, сопутствующих старению, подойти к вопросам диагностики и лечения этого контингента больных. Необходимо сказать отом, что именно в психиатрии подразделение больных по возрастным группам отражает базисные представления о различном характере течения заболеваний вразные возрастные периоды и, соответственно, разные подходы к их лечению. </w:t>
      </w:r>
      <w:r>
        <w:br/>
        <w:t xml:space="preserve">Игнорирование фактора старения при диагностике и выборетерапевтической стратегии приводит к ошибочной интерпретации отдельных симптомов и как следствие синдрома в целом, что в свою очердь становитсяпричиной неправильного, а часто и небезопасного лечения. </w:t>
      </w:r>
      <w:r>
        <w:br/>
        <w:t>В качестве примера сложности использования психотропныхсредств в пожилом и старческом возрасте возьмем группу нейролептиков (НЛ), так как эти препараты широко применяются не только психиатрами, но и врачами общейпрактики.</w:t>
      </w:r>
      <w:r>
        <w:br/>
        <w:t xml:space="preserve">Особенности использования НЛ у пожилых проявляются в несколько иных показаниях к их назначению, подборе доз, выборе лекарственныхформ, способов и режимов применения. </w:t>
      </w:r>
    </w:p>
    <w:p w:rsidR="00495378" w:rsidRDefault="00495378" w:rsidP="00495378">
      <w:pPr>
        <w:pStyle w:val="a3"/>
      </w:pPr>
      <w:r>
        <w:rPr>
          <w:b/>
          <w:bCs/>
        </w:rPr>
        <w:t>Место нейролептической терапии в геронтопсихиатрии</w:t>
      </w:r>
      <w:r>
        <w:rPr>
          <w:b/>
          <w:bCs/>
        </w:rPr>
        <w:br/>
      </w:r>
      <w:r>
        <w:t>Показания к применению НЛ у пожилых пациентов, как это нипарадоксально, оказываются шире, чем для пациентов более молодого возраста. Если в среднем возрасте НЛ назначают перимущественно для лечения эндогенныхпсихических заболеваний, таких как шизофрения, то для пожилого контингента этот список расширяется за счет состояний, в которых психотические симптомы являютсякак бы вторичными по отношению к основному заболеванию. Наиболее часто в гериатрии НЛ назначают для курации:</w:t>
      </w:r>
      <w:r>
        <w:br/>
        <w:t>- острых и хронических психотических расстройств в рамках эндогенных заболеваний (шизофрения, шизоаффективное расстройство, аффективныерасстройства);</w:t>
      </w:r>
      <w:r>
        <w:br/>
        <w:t>- психотических расстройств в рамках сосудисто-атрофических заболеваний головного мозга;</w:t>
      </w:r>
      <w:r>
        <w:br/>
        <w:t>- эпизодов возбуждения в рамках возрастных личностных изменений и дементирующих процессов головного мозга.</w:t>
      </w:r>
      <w:r>
        <w:br/>
        <w:t xml:space="preserve">Общей особенностью психических расстройств позднего возраста является значительное видоизменение типичной клинической картины подвоздействием возрастного фактора, что может затруднить диагностику. Нередко наблюдается сочетание признаков каждого из перечисленных выше состояний вклинической картине у одного больного, что требует тонкого дифференциально-диагностического поиска в целях прежде всего верного выделениятерапевтических мишеней и наиболее адекватного подбора лекарственной терапии. </w:t>
      </w:r>
      <w:r>
        <w:br/>
        <w:t xml:space="preserve">Мы хотели бы обратить внимание на большое значение точнойсимптоматической, не умаляя важности синдромальной и нозологической, диагностики для построения терапевтической тактики и достижения желаемоголечебного эффекта при максимально возможной безопасности лекарственной терапии. </w:t>
      </w:r>
      <w:r>
        <w:br/>
      </w:r>
      <w:r>
        <w:rPr>
          <w:b/>
          <w:bCs/>
        </w:rPr>
        <w:t>Общевозрастные факторы, которые необходимо учитывать вгериатрии</w:t>
      </w:r>
      <w:r>
        <w:rPr>
          <w:b/>
          <w:bCs/>
        </w:rPr>
        <w:br/>
      </w:r>
      <w:r>
        <w:t>1. Физиологические изменения:</w:t>
      </w:r>
      <w:r>
        <w:br/>
        <w:t>- общие структурные и функциональные изменения внутреннихорганов с ограничением резервных и компенсаторных возможностей организма;</w:t>
      </w:r>
      <w:r>
        <w:br/>
        <w:t>- распространенный атеросклероз сосудов и в том числе сосудовголовного мозга;</w:t>
      </w:r>
      <w:r>
        <w:br/>
        <w:t>- изменение рецепторной активности ЦНС в сторону снижения порога восприятия.</w:t>
      </w:r>
      <w:r>
        <w:br/>
        <w:t>Указанные возрастные факторы, как правило, в той или иной степени присутствуют у многих пожилых пациентов (старше 45-50 лет) ипрактически у всех пациентов более позднего и старческого возраста (старше 60-65 лет).</w:t>
      </w:r>
      <w:r>
        <w:br/>
        <w:t>2. Хронические соматические и неврологические заболевания, сопутствующие процессу старения. Наличие таких заболеваний требует не толькоосторожности в применении НЛ (например, при тенденции к пониженному артериальному давлению, хронических заболеваниях печени и почек и т.д.), но ирезкого ограничения их использования (болезнь Паркинсона, дегенеративные атрофические процессы головного мозга).</w:t>
      </w:r>
      <w:r>
        <w:br/>
        <w:t>3. С возрастом расширяется список лекарственных препаратов, которые пациенты принимают постоянно для лечения хронических заболеванийвнутренних органов, таким образом, часто лечение психических расстройств приходится начинать в условиях полифармакотерапии.</w:t>
      </w:r>
      <w:r>
        <w:br/>
        <w:t>Сочетание факторов физиологического старения с наличием большого числа хронических заболеваний и имеющейся полипрагмазией приводит кизменению стандартной фармакодинамики и фармакокинетики НЛ, следствием чего являются часто неожиданные для врача результаты психофармакотерапии, а именно:</w:t>
      </w:r>
      <w:r>
        <w:br/>
        <w:t>- изменение ожидаемого терапевтического профиля известного препарата в сторону как ослабления, так и усиления его лечебного эффекта;</w:t>
      </w:r>
      <w:r>
        <w:br/>
        <w:t>- снижение уровня безопасности применения НЛ с увеличением частоты развития острых и хронических осложнений и побочных эффектов.</w:t>
      </w:r>
      <w:r>
        <w:br/>
      </w:r>
      <w:r>
        <w:rPr>
          <w:b/>
          <w:bCs/>
        </w:rPr>
        <w:t>Особенности фармакокинетики в позднем возрасте</w:t>
      </w:r>
      <w:r>
        <w:br/>
        <w:t xml:space="preserve">Основные фармакокинетические параметры, такие как всасывание,распределение, метаболизм и выведение лекарственных препаратов подвергаются значительному изменению в позднем возрасте. </w:t>
      </w:r>
      <w:r>
        <w:br/>
        <w:t xml:space="preserve">Хронические заболевания желудочно-кишечного тракта, особенно тонкого отдела кишечника, влияют на снижение уровня всасывания НЛ, отодвигая вовремени процессы метаболизма. </w:t>
      </w:r>
      <w:r>
        <w:br/>
        <w:t xml:space="preserve">Возрастание массы тела в основном за счет увеличения жировойткани приводит к более широкому распределению жирорастворимых субстанций (бензодиазепины, НЛ и др.) и соответственно требует более длительного ихвыведения из организма. </w:t>
      </w:r>
      <w:r>
        <w:br/>
        <w:t xml:space="preserve">Снижение активности ферментной системы печени в результате физиологического старения или хронического заболевания приводит к увеличениювремени печеночного метаболизма НЛ, т.е. к увеличению периода их полужизни, что важно учитывать при разработке режима дозирования (более редкий прием), оценкеопасности передозировки и тяжести побочных эффектов. </w:t>
      </w:r>
      <w:r>
        <w:br/>
        <w:t xml:space="preserve">Хронические воспалительные процессы приводят к снижениюсинтеза связывающих белков плазмы крови, что обусловливает возрастание концентрации свободных лекарственных субстанций и/или их активных метаболитов вкрови. </w:t>
      </w:r>
      <w:r>
        <w:br/>
        <w:t>Результатом возрастного снижения уровня клубочковой фильтрации почек или наличия хронических заболеваний почек является замедлениепроцесса выведения НЛ из организма.</w:t>
      </w:r>
      <w:r>
        <w:br/>
        <w:t xml:space="preserve">Таким образом, изменения процессов всасывания, распределения,метаболизма и выведения лекарственных препаратов у пожилых приводят к увеличению концентрации препаратов в крови и удлиннению периода их действия, азначит, для достижения такого же, как и для более молодых больных, терапевтического эффекта у пациентов этой группы требуются более низкие дозы НЛи более редкий режим приема в течение дня. </w:t>
      </w:r>
      <w:r>
        <w:br/>
      </w:r>
      <w:r>
        <w:rPr>
          <w:b/>
          <w:bCs/>
        </w:rPr>
        <w:t xml:space="preserve">Побочные эффекты и осложнения нейролептической терапии впозднем возрасте </w:t>
      </w:r>
      <w:r>
        <w:br/>
        <w:t xml:space="preserve">Возрастное снижение плотности рецепторов меняет характер действия НЛ на нейротрансмиттерные системы, что отчасти может обусловливатьменьшую предсказуемость ответа на терапию у пожилых больных по сравнению с больными среднего возраста, включая их большую чувствительность к центральнымпобочным эффектам, таким как чрезмерная седация, когнитивные нарушения, экстрапирамидные расстройства, вегетативный дисбаланс (особенно ортостатическаягипотензия), а также к периферическим проявлениям холинолитического действия. Если в молодом возрасте данные побочные эффекты редко становятся угрожающимидля жизни пациентов и достаточно легко поддаются корригирующей терапии, то в пожилом возрасте они часто выходят на первый план, а в ряде случаев играютдоминирующую роль в клинической картине, определяя тяжесть состояния больного в большей степени, чем собственно первичное расстройство. </w:t>
      </w:r>
      <w:r>
        <w:br/>
        <w:t xml:space="preserve">Такое серьезное и труднокурабельное осложнение терапии НЛ, как поздняя дискинезия (ПД), по некоторым данным, у больных старше 50 летвстречается в 3 –5 раз чаще, чем у более молоых, даже при использовании низких доз НЛ. Особено опасными в этом отношении являются препараты, блокирующиепостсинаптические Д2-рецепторы, такие как трифлюперазин. Для ПД характерно отставленное развитие – симптомы появляются не в процессе активной терапии встационаре, а позже, в процессе отмены или снижения дозы, что приходится на период амбулаторного лечения. </w:t>
      </w:r>
      <w:r>
        <w:br/>
      </w:r>
      <w:r>
        <w:rPr>
          <w:b/>
          <w:bCs/>
        </w:rPr>
        <w:t>Тактика применения НЛ в геронтологии</w:t>
      </w:r>
      <w:r>
        <w:br/>
        <w:t>Сказанное выше, с нашей точки зрения, определяет актуальностьвыделения основных подходов к использованию НЛ для пожилого контингента больных не только психиатрического, но и общетерапевтического профиля.</w:t>
      </w:r>
      <w:r>
        <w:br/>
        <w:t xml:space="preserve">Во-первых, необходимость ответственного и взвешенного подхода к решению о необходимости применения НЛ вообще. По нашему опыту, подборадекватной соматической терапии, стабилизация таких основных показателей, как АД, ЭКГ, водно-электролитный баланс и др., часто дает положительный клиническийэффект без назначения НЛ, особенно в тех случаях, когда психотические расстройства, нарушения поведения или возбуждение развиваются в структуре илина фоне органических заболеваний головного мозга, таких как сосудисто-атрофические или дегенеративные процессы позднего возраста. Частопсихотическое возбуждение может быть следствием токсического воздействия тех или иных лекарств, соматического заболевания и др. В целом универсальность этойформы реагирования характерна для позднего возраста. </w:t>
      </w:r>
      <w:r>
        <w:br/>
      </w:r>
      <w:r>
        <w:rPr>
          <w:b/>
          <w:bCs/>
        </w:rPr>
        <w:t xml:space="preserve">Во-вторых, четкое определение терапевтических мишенейдляназначения НЛ. </w:t>
      </w:r>
      <w:r>
        <w:t>Речь идет о точной нозологической и симптоматической диагностике и оценке реальных возможностей терапевтической курации психическогорасстройства в целом. На этом этапе важно правильно определить, какие из симптомов заболевания могут получить обратное развитие под воздействиемпсихофармакотерапии, а какие окажутся к ней болеее устойчивыми (особенно при длительно протекающем хроническом психическом заболевании). Поставив передсобой реальную терапевтическую мишень, мы сможем добиться возможного терапевтического эффекта при наибольшей безопасности лечения.</w:t>
      </w:r>
      <w:r>
        <w:br/>
      </w:r>
      <w:r>
        <w:rPr>
          <w:b/>
          <w:bCs/>
        </w:rPr>
        <w:t>В-третьих, правильный выбор НЛ, его дозы, режима, формы введения.</w:t>
      </w:r>
      <w:r>
        <w:t xml:space="preserve"> Выбор конкретного НЛ определяется, с одной стороны, особенностямифармакологического действия препарата, а с другой – комплексом факторов </w:t>
      </w:r>
      <w:r>
        <w:br/>
        <w:t xml:space="preserve">анамнеза и текущего статуса больного. Фармакологическоедействие НЛ необходимо оценивать, прежде всего, исходя из учета возможных токсических эффектов. Подразделение традиционных НЛ на группы высоко- инизкопотентных препаратов дает в этом смысле определенные ориентиры. Так, клинический опыт показал, что применение низкопотентных НЛ (хлорпромазин,хлорпротиксен, тиоридазин) гораздо чаще вызывает избыточную седацию и ортостатическую гипотензию. Вследствие удлиненного периода полужизни иотставленного клиренса НЛ эти побочные действия трудны для курации и могут приводить к развитию еще большей ажитации у больного. Применениевысокопотентных НЛ (галоперидол, трифтазин) чаще всего ассоциируется с развитием экстрапирамидных расстройств (мышечная ригидность, тремор,маскообразное лицо, синдромом “зубчатого колеса”), в то время как седативное действие и ортостатизм выражены здесь в меньшей степени. В настоящее время имеютсяпредставления о предпочтительности использования в гериатрии высокопотентных НЛ при условии осторожного подбора дозы и контроля развития экстрапирамидныхявлений. Появление нового класса так называемых атипичных НЛ (клозапин, оланзапин, рисперидон, кветиапин, сертиндол и др.), названных так прежде всегоиз-за значительного отличия их фармакологического профиля от традиционных НЛ, открывает перспективы их использования в гериатрии. Первым в этой группепоявился клозапин (лепонекс), с использованием которого изменилось представление психиатров о возожностях действия нейролептиков. Являясьпроизводным дибензодиазепина клозапин оказывает выраженное антипсихотическое и седативное действие, практически не вызывает экстрапирамидных нарушений. Вгериатрической практике доза препарата подбирается индивидуально, обычно начиная с 25 мг (12,5 мг) постепенно увеличивая ее до 200 мг в сутки в течение7–14 дней. Имеются клинические данные о том, что риск развития экстрапирамидного синдрома и ПД при использовании этой группы лекарственныхсредств значительно ниже по сравнению с традиционными НЛ. </w:t>
      </w:r>
      <w:r>
        <w:br/>
        <w:t xml:space="preserve">К факторам клинического анамнеза, имеющим значение для выбораНЛ, следует отнести такие показатели, как данные о переносимости и эффективности тех или иных НЛ для конкретного больного, наличие сопутствующейтерапии, имеющиеся соматические и неврологические заболевания. Например, назначение НЛ на фоне постоянного приема пациентом гипотензивных средств илибета-блокаторов должно настораживать в плане развития таких осложнений НЛ, как ортостатическая гипотензия, избыточная седация и снижение сердечного выброса.Наличие хронических заболеваний печени или почек может, с одной стороны, привести к ухудшению функции этих органов до обострения болезни, с другой –означает изначальное нарушение метаболизма и выведения НЛ. Больные, страдающие болезнью Альцгеймера, оказываются более чувствительными к антихолинергическимпобочным действиям НЛ, в то время как пациенты с болезнью Паркинсона угрожаемы для развития допаминового блока. </w:t>
      </w:r>
      <w:r>
        <w:br/>
      </w:r>
      <w:r>
        <w:rPr>
          <w:b/>
          <w:bCs/>
        </w:rPr>
        <w:t>В-четвертых, учет изменений соматического состояния в процессе НЛ терапии.</w:t>
      </w:r>
      <w:r>
        <w:t xml:space="preserve"> Развитие на фоне НЛ терапии или обострение имеющихсяхронических соматических заболеваний может привести к резкому ухудшению психического состояния. Как мы уже говорили, только курация соматическогострадания может стабилизировать психическое состояние больного. </w:t>
      </w:r>
      <w:r>
        <w:br/>
      </w:r>
      <w:r>
        <w:rPr>
          <w:b/>
          <w:bCs/>
        </w:rPr>
        <w:t>В-пятых, общая настороженность в отношении развитияпобочных действий и осложнений НЛ терапии в позднем возрасте.</w:t>
      </w:r>
    </w:p>
    <w:p w:rsidR="00495378" w:rsidRDefault="00495378" w:rsidP="00495378">
      <w:pPr>
        <w:pStyle w:val="a3"/>
      </w:pPr>
      <w:r>
        <w:rPr>
          <w:rStyle w:val="a4"/>
        </w:rPr>
        <w:t>Литература</w:t>
      </w:r>
      <w:r w:rsidRPr="00495378">
        <w:rPr>
          <w:i/>
          <w:iCs/>
          <w:lang w:val="en-US"/>
        </w:rPr>
        <w:br/>
      </w:r>
      <w:r w:rsidRPr="00495378">
        <w:rPr>
          <w:rStyle w:val="a4"/>
          <w:lang w:val="en-US"/>
        </w:rPr>
        <w:t>1. Bergstrom R.F.,Callaghan J.T. et al. Pharmacokinetics of olanzapine inelderly and young. Pharmaco LSR, Austin, TX 78704 and Eli Lilly and company.</w:t>
      </w:r>
      <w:r w:rsidRPr="00495378">
        <w:rPr>
          <w:i/>
          <w:iCs/>
          <w:lang w:val="en-US"/>
        </w:rPr>
        <w:br/>
      </w:r>
      <w:r w:rsidRPr="00495378">
        <w:rPr>
          <w:rStyle w:val="a4"/>
          <w:lang w:val="en-US"/>
        </w:rPr>
        <w:t>2. Filice G.A., McDougall B.C. et al. Neuroleptic malignant syndromeassociated with olanzapine. Ann. Pharmacother. 1998; 31(11):1158-9.</w:t>
      </w:r>
      <w:r w:rsidRPr="00495378">
        <w:rPr>
          <w:i/>
          <w:iCs/>
          <w:lang w:val="en-US"/>
        </w:rPr>
        <w:br/>
      </w:r>
      <w:r w:rsidRPr="00495378">
        <w:rPr>
          <w:rStyle w:val="a4"/>
          <w:lang w:val="en-US"/>
        </w:rPr>
        <w:t>3. Fuglum E., Schillinger A. et al. Zuclopenthixol andhaloperidol/levomepromazine in the treatment of elderly patients with symptoms of agressiveness and agitation. Pharmatherapeutica. 1989; 5(5).</w:t>
      </w:r>
      <w:r w:rsidRPr="00495378">
        <w:rPr>
          <w:i/>
          <w:iCs/>
          <w:lang w:val="en-US"/>
        </w:rPr>
        <w:br/>
      </w:r>
      <w:r w:rsidRPr="00495378">
        <w:rPr>
          <w:rStyle w:val="a4"/>
          <w:lang w:val="en-US"/>
        </w:rPr>
        <w:t>4. Howanitz E., Prado M. et al. The efficacy and safety of clozapine versus chlorpromazine in geriatric schizophrenia. J Clin Psychiatry 1999; 60(1):41-2.</w:t>
      </w:r>
      <w:r w:rsidRPr="00495378">
        <w:rPr>
          <w:i/>
          <w:iCs/>
          <w:lang w:val="en-US"/>
        </w:rPr>
        <w:br/>
      </w:r>
      <w:r w:rsidRPr="00495378">
        <w:rPr>
          <w:rStyle w:val="a4"/>
          <w:lang w:val="en-US"/>
        </w:rPr>
        <w:t>5. Jeanblanc W., Davis Y.B. Risperidone for treating dementia-associated aggression. Am J Psychiatry 1995; 152(8): 1239.</w:t>
      </w:r>
      <w:r w:rsidRPr="00495378">
        <w:rPr>
          <w:i/>
          <w:iCs/>
          <w:lang w:val="en-US"/>
        </w:rPr>
        <w:br/>
      </w:r>
      <w:r w:rsidRPr="00495378">
        <w:rPr>
          <w:rStyle w:val="a4"/>
          <w:lang w:val="en-US"/>
        </w:rPr>
        <w:t>6. Jeste D.V., Lacro J.P. et al. Insidence of tardive dyskinesia in early stages of low-dose treatment with typical neuroleptics in older patients. Am JPsychiatry 1999; 156(2).</w:t>
      </w:r>
      <w:r w:rsidRPr="00495378">
        <w:rPr>
          <w:i/>
          <w:iCs/>
          <w:lang w:val="en-US"/>
        </w:rPr>
        <w:br/>
      </w:r>
      <w:r w:rsidRPr="00495378">
        <w:rPr>
          <w:rStyle w:val="a4"/>
          <w:lang w:val="en-US"/>
        </w:rPr>
        <w:t xml:space="preserve">7. Jeste D.V., Rockwell E. et al. Conventional vs. newer antipsychotics inelderly patients. </w:t>
      </w:r>
      <w:r>
        <w:rPr>
          <w:rStyle w:val="a4"/>
        </w:rPr>
        <w:t>Am Geriatr Psychiatry 1999; Winter,70.</w:t>
      </w:r>
    </w:p>
    <w:p w:rsidR="00495378" w:rsidRDefault="00495378">
      <w:bookmarkStart w:id="0" w:name="_GoBack"/>
      <w:bookmarkEnd w:id="0"/>
    </w:p>
    <w:sectPr w:rsidR="00495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378"/>
    <w:rsid w:val="002260D9"/>
    <w:rsid w:val="00495378"/>
    <w:rsid w:val="00E1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EB5B4B-E8EF-4E93-AF47-2BAB1CD2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4953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495378"/>
    <w:pPr>
      <w:spacing w:before="100" w:beforeAutospacing="1" w:after="100" w:afterAutospacing="1"/>
    </w:pPr>
  </w:style>
  <w:style w:type="character" w:styleId="a4">
    <w:name w:val="Emphasis"/>
    <w:basedOn w:val="a0"/>
    <w:uiPriority w:val="99"/>
    <w:qFormat/>
    <w:rsid w:val="004953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89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2211</Words>
  <Characters>12606</Characters>
  <Application>Microsoft Office Word</Application>
  <DocSecurity>0</DocSecurity>
  <Lines>105</Lines>
  <Paragraphs>29</Paragraphs>
  <ScaleCrop>false</ScaleCrop>
  <Company/>
  <LinksUpToDate>false</LinksUpToDate>
  <CharactersWithSpaces>14788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Конечной, или, если можно так сказать, идеальной, целью любого лекарственного лечения для врачаявляется выздоровление либо существенное улучшение качества жизни больного</dc:title>
  <dc:subject/>
  <dc:creator>Женя</dc:creator>
  <cp:keywords/>
  <dc:description/>
  <cp:lastModifiedBy>admin</cp:lastModifiedBy>
  <cp:revision>2</cp:revision>
  <dcterms:created xsi:type="dcterms:W3CDTF">2014-02-17T09:12:00Z</dcterms:created>
  <dcterms:modified xsi:type="dcterms:W3CDTF">2014-02-17T09:12:00Z</dcterms:modified>
</cp:coreProperties>
</file>