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9E7" w:rsidRPr="00EC04AD" w:rsidRDefault="004059E7" w:rsidP="004059E7">
      <w:pPr>
        <w:spacing w:before="120"/>
        <w:jc w:val="center"/>
        <w:rPr>
          <w:b/>
          <w:bCs/>
          <w:sz w:val="32"/>
          <w:szCs w:val="32"/>
        </w:rPr>
      </w:pPr>
      <w:r w:rsidRPr="00EC04AD">
        <w:rPr>
          <w:b/>
          <w:bCs/>
          <w:sz w:val="32"/>
          <w:szCs w:val="32"/>
        </w:rPr>
        <w:t xml:space="preserve">Нейрологические уровни и брендинг </w:t>
      </w:r>
    </w:p>
    <w:p w:rsidR="004059E7" w:rsidRPr="00EC04AD" w:rsidRDefault="004059E7" w:rsidP="004059E7">
      <w:pPr>
        <w:spacing w:before="120"/>
        <w:jc w:val="center"/>
        <w:rPr>
          <w:sz w:val="28"/>
          <w:szCs w:val="28"/>
        </w:rPr>
      </w:pPr>
      <w:r w:rsidRPr="00EC04AD">
        <w:rPr>
          <w:sz w:val="28"/>
          <w:szCs w:val="28"/>
        </w:rPr>
        <w:t xml:space="preserve">Михаил Гринфельд 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 xml:space="preserve">Под брэндингом мы понимаем продвижение торговой марки. Нам представляется, что эффективность брэндинга во многом зависит от информированности целевой группы и её приверженности идее (мифу) брэнда. Причём сильный брэнд, устойчивый к рыночным коллизиям, характеризуется высокой степенью приверженности к нему целевой группы. 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 xml:space="preserve">Технология повышения информированности целевой группы достаточно понятна и описана в литературе. Цель данной статьи — показать, как можно существенно увеличить приверженность целевой группы (в количественном выражении и в качественном, т. е. в степени убежденности) без увеличения или перераспределения финансовых затрат. 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>Нейролингвистическое программирование (НЛП) — это гуманитарная технология, одной из задач которой является формализация успешного креативного опыта для обучения ему людей. На этот раз объектом нашего исследования будет брэндинг, а инструментом — нейрологические уровни. Мы постараемся ответить на вопрос — как при помощи нейрологических уровней можно повысить приверженность целевой группы брэнду?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 xml:space="preserve">Для простоты предположим, что для нашей рекламной кампании мы готовим серию видеороликов, хотя конечно, понимаем, что кампания может быть осуществлена и другими способами. 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 xml:space="preserve">Рассказывают, что китайские мастера каллиграфии несколько часов медитируют, представляя себе различные образы, истории. Таким образом они входят в определенное психологическое состояние, и только после этого — буквально за несколько секунд — пишут иероглиф. Мы пойдем по их пути: достаточно долго будем и рассматривать различные истории, а потом постараемся быстро ответить на вопрос, как именно нейрологические уровни могут помочь в формировании приверженности целевой группы брэнду. 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>Для тех, кто после слов “брэндинг” и “нейрологические уровни” еще не успел уйти со страницы, хочется рассказать одну историю.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>Россия. Зима. Мальчик играет в снежки, кидает их в стену. Промахивается, попадает в окно. Окно со звоном разбивается, из дверей выбегает дворник и бежит за мальчиком. Мальчик убегает и думает: “Холодно, грязно, мне бы сейчас к моему любимому писателю Эрнесту Хемингуэю, на Кубу, в вечное лето, в тепло, поохотиться бы на слонов.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>Куба. Эрнест Хемингуэй лежит в канаве и охотится на слонов. Думает: “Господи! Жара, эти потные слоны. Мне бы сейчас к моему любимому писателю, Андре Моруа, в Париж, в весну, любовь.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>Париж. Андре Моруа сидит в бардаке, одной рукой обнимает красавицу, другой держит бокал шампанского и думает: “Господи! Пьянство, разврат; мне бы сейчас к моему кумиру, Андрею Платонову, в Россию, в зиму, в духовность.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>Россия. Зима. Бежит мальчик, за ним бежит дворник, Андрей Платонов… и думает: “Поймаю суку, все ноги переломаю.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>Вот такая грустная история. Впрочем, мы еще к ней вернемся, а пока займемся нейро-логическими уровнями. В НЛП выделяют шесть нейро-логических уровней.</w:t>
      </w:r>
    </w:p>
    <w:tbl>
      <w:tblPr>
        <w:tblW w:w="5000" w:type="pct"/>
        <w:tblCellSpacing w:w="7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08"/>
        <w:gridCol w:w="4908"/>
      </w:tblGrid>
      <w:tr w:rsidR="004059E7" w:rsidRPr="004D3E9F" w:rsidTr="00E40039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7" w:rsidRPr="004D3E9F" w:rsidRDefault="004059E7" w:rsidP="00E40039">
            <w:r w:rsidRPr="004D3E9F">
              <w:t>Нейрологические уровни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59E7" w:rsidRPr="004D3E9F" w:rsidRDefault="004059E7" w:rsidP="00E40039">
            <w:r w:rsidRPr="004D3E9F">
              <w:t>Вопросы</w:t>
            </w:r>
          </w:p>
        </w:tc>
      </w:tr>
      <w:tr w:rsidR="004059E7" w:rsidRPr="004D3E9F" w:rsidTr="00E40039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7" w:rsidRPr="004D3E9F" w:rsidRDefault="004059E7" w:rsidP="00E40039">
            <w:r w:rsidRPr="004D3E9F">
              <w:t>6. Духовности, Миссии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59E7" w:rsidRPr="004D3E9F" w:rsidRDefault="004059E7" w:rsidP="00E40039">
            <w:r w:rsidRPr="004D3E9F">
              <w:t>Какая миссия? Какое духовное предназначение? Я как частица какой-то, гораздо большей подсистемы (часто оформляется в виде метафоры)</w:t>
            </w:r>
          </w:p>
        </w:tc>
      </w:tr>
      <w:tr w:rsidR="004059E7" w:rsidRPr="004D3E9F" w:rsidTr="00E40039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7" w:rsidRPr="004D3E9F" w:rsidRDefault="004059E7" w:rsidP="00E40039">
            <w:r w:rsidRPr="004D3E9F">
              <w:t>5. Идентификации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59E7" w:rsidRPr="004D3E9F" w:rsidRDefault="004059E7" w:rsidP="00E40039">
            <w:r w:rsidRPr="004D3E9F">
              <w:t>Кто?</w:t>
            </w:r>
          </w:p>
        </w:tc>
      </w:tr>
      <w:tr w:rsidR="004059E7" w:rsidRPr="004D3E9F" w:rsidTr="00E40039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7" w:rsidRPr="004D3E9F" w:rsidRDefault="004059E7" w:rsidP="00E40039">
            <w:r w:rsidRPr="004D3E9F">
              <w:t>4. Мотивов, ценностей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59E7" w:rsidRPr="004D3E9F" w:rsidRDefault="004059E7" w:rsidP="00E40039">
            <w:r w:rsidRPr="004D3E9F">
              <w:t>Почему? Какие мотивы, ценности?</w:t>
            </w:r>
          </w:p>
        </w:tc>
      </w:tr>
      <w:tr w:rsidR="004059E7" w:rsidRPr="004D3E9F" w:rsidTr="00E40039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7" w:rsidRPr="004D3E9F" w:rsidRDefault="004059E7" w:rsidP="00E40039">
            <w:r w:rsidRPr="004D3E9F">
              <w:t>3. Стратегий и способностей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59E7" w:rsidRPr="004D3E9F" w:rsidRDefault="004059E7" w:rsidP="00E40039">
            <w:r w:rsidRPr="004D3E9F">
              <w:t>Как? Какие стратегии, способности, свойства?</w:t>
            </w:r>
          </w:p>
        </w:tc>
      </w:tr>
      <w:tr w:rsidR="004059E7" w:rsidRPr="004D3E9F" w:rsidTr="00E40039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7" w:rsidRPr="004D3E9F" w:rsidRDefault="004059E7" w:rsidP="00E40039">
            <w:r w:rsidRPr="004D3E9F">
              <w:t>2. Действия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59E7" w:rsidRPr="004D3E9F" w:rsidRDefault="004059E7" w:rsidP="00E40039">
            <w:r w:rsidRPr="004D3E9F">
              <w:t>Что делать?</w:t>
            </w:r>
          </w:p>
        </w:tc>
      </w:tr>
      <w:tr w:rsidR="004059E7" w:rsidRPr="004D3E9F" w:rsidTr="00E40039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7" w:rsidRPr="004D3E9F" w:rsidRDefault="004059E7" w:rsidP="00E40039">
            <w:r w:rsidRPr="004D3E9F">
              <w:t>1. Окружения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59E7" w:rsidRPr="004D3E9F" w:rsidRDefault="004059E7" w:rsidP="00E40039">
            <w:r w:rsidRPr="004D3E9F">
              <w:t>Где, когда, с кем, сколько?</w:t>
            </w:r>
          </w:p>
        </w:tc>
      </w:tr>
    </w:tbl>
    <w:p w:rsidR="004059E7" w:rsidRPr="004D3E9F" w:rsidRDefault="004059E7" w:rsidP="004059E7">
      <w:pPr>
        <w:spacing w:before="120"/>
        <w:ind w:firstLine="567"/>
        <w:jc w:val="both"/>
      </w:pPr>
      <w:r w:rsidRPr="004D3E9F">
        <w:t>Для начала попытаемся рассмотреть вышеприведенную историю сквозь призму логических уровней. Мы можем обнаружить, что смеховой эффект достигается за счет того, что сталкиваются два противоречащих друг другу логических уровня: уровень Духовности (который создаётся при помощи самого слова “духовность”) и уровень Действия (“бежит мальчик, за ним бежит дворник и думает: “Поймаю суку, все ноги переломаю”, — эта часть анекдота сформулирована на уровне Действия).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 xml:space="preserve">Проведем маленькое упражнение. Возьмем всем известную фразу и “прогоним” ее вверх по логическим уровням. Всем известна фраза: “У нас с друзьями есть традиция: 31 декабря ходить в баню”. Без труда заметно, что предложение сформулировано на первом логическом уровне, то есть на уровне Окружения. На втором логическом уровне, Действия, это могло выглядеть следующим образом: “Мы ходим в баню”. На третьем логическом уровне, Стратегий и способностей: “Когда мы идем в баню, мы тщательно собираемся, психологически настраиваемся, покупаем пиво и…”. Четвертый логический уровень, Мотивов и ценностей: “Мы ходим в баню, потому что нам там хорошо”. Пятый логический уровень, Идентификации: “Мы — банщики”. И, наконец, шестой уровень, уровень Миссии: “Мы — банщики, потому что мы чувствуем себя частицей русской культуры”. 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 xml:space="preserve">Теперь приведем пример, я не боюсь этого слова — из исторического брэндинга. Если спросить европейца, кто такие камикадзе, то он ответит, что камикадзе — это воины-смертники, самоубийцы, которые в годы второй мировой войны таранили при помощи своих самолетов технику союзников. Однако попробуем посмотреть на эту ситуацию изнутри, с точки зрения самурая, который сидит в летательном аппарате. А любой самурай с детства знал, что верховное божество синтаистской религии — это богиня солнца Амотерасу. 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 xml:space="preserve">В начале 13 века произошло знаменательное событие. Войска Чингисхана, завоевав материковый Китай, подошли к берегу океана, и они знали, что где-то далеко за морем есть страна, где восходит солнце — Япония. Монголы собрали китайский флот, посадили на него свою конницу и китайских воинов и отправились завоевывать Японию. 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 xml:space="preserve">В те времена Япония не могла противопоставить ничего серьезного монголам. Японцы готовились к обороне, в их храмах молились богине солнца Амотерасу, прося её о помощи. Между Китаем и Японией китайский флот попадает в шторм; часть кораблей гибнет, а часть относится обратно в сторону Китая. Пока монголы собирали флот, пока латали дыры, пока готовились к новой экспедиции, умер Чингисхан. Среди монголов началась междоусобица, и им уже никогда не было дела до Японии. 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 xml:space="preserve">В японском религиозном сознании это нашло следующее объяснение: богиня солнца Амотерасу послала солнечный ветер — Камикадзе, который и спас Японию. Самурай, пилотировавший самолет, который никогда уже не приземлится, чувствовал себя частицей солнечного ветра. 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 xml:space="preserve">Таким образом мы имеем метафорическое описание Миссии, которое создает Идентификацию с частицей солнечного ветра, а именно Идентификация управляет поведением человека на более низких логических уровнях, в том числе Действиями, Стратегиями, Окружением и т. д. 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 xml:space="preserve">Таким образом, если мы сейчас переместимся в японскую школу на урок истории, то можем сказать, что учитель занимается своего рода брэндингом, первый этап которого — это рассказ об Аматерасу, монгольском нашествии и солнечном ветре. С технической точки зрения это метафорически выраженная Миссия, которая создает определенную Идентификацию: “Кто был летчик в Самолёте? Кто я? Мы — частицы солнечного ветра!” Самоидентификация в свою очередь, определит Ценности, Действия, Стратегии маленького японца. 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>Таким образом, если мы хотим повлиять на действия, поступки, покупки человека необходимо создать определяющую их Идентификацию.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 xml:space="preserve">Вернёмся к брэндингу. Нам представляется такой вариант эффективной стратегии брэндинга. Сначала — описание при помощи развёрнутых метафор (видеороликов) Миссии брэнда и Идентификации пользователя брэнда. Очень схематично мы показали это восхождение от Окружения “У нас есть традиция: 31 декабря ходить с друзьями в баню” до Миссии “частицы русской культуры”. Правда, приведенный пример был без развёрнутой метафоры, так как технология создания и подбора развёрнутых метафор — это отдельная тема. 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 xml:space="preserve">Однако в практике брэндинга мы не видим попыток серьёзной рекламной проработки всего комплекса нейрологических уровней с упором на Идентификацию в рамках рекламной кампании одной марки. Скорее можно говорить о тенденции работы на одном, в лучшем случае двух уровнях. 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 xml:space="preserve">Наиболее удачно на двух верхних уровнях Миссии и Идентификации работала реклама банка “Империал”. Миссия: “С точностью до секунды!” Идентификация: “Точность — вежливость королей!” 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 xml:space="preserve">Причем слоганы, плакаты и т. д. могут являться подсистемами метафоры Миссии. 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 xml:space="preserve">Только на уровне Миссии работает реклама брэнда “Довгань”: “Довгань — это праздник”. Идентификации целевой группы пока не заметно. 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 xml:space="preserve">Как минимум на трёх логических уровнях “чистит” сознание аудитории новый “Ферри”. Уровень Окружения — разные испанские города Вилариба и Вилабаджо. Уровень Действия: “Отчистит что другим не доступно”. Уровень Идентификации: “С “Ферри” даже ты становишься экономной хозяйкой”. 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>Есть брэнды, которые не поднимаются выше уровня Окружения, например “Снежная королева”: “В этом году дубленки принято покупать в Снежной королеве”. Хотя, может быть, данная целевая группа живет только на первом логическом уровне?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 xml:space="preserve">Эта статья ставит больше вопросов, чем даёт ответов. Однако вопрос осознанного, целенаправленного, грамотного использования логических уровней таит в себе большие возможности. Главная из них — это возможность повышения приверженности идее (мифу) брэнда среди целевой группы, которая является одной из составляющих силы брэнда. </w:t>
      </w:r>
    </w:p>
    <w:p w:rsidR="004059E7" w:rsidRPr="004D3E9F" w:rsidRDefault="004059E7" w:rsidP="004059E7">
      <w:pPr>
        <w:spacing w:before="120"/>
        <w:ind w:firstLine="567"/>
        <w:jc w:val="both"/>
      </w:pPr>
      <w:r w:rsidRPr="004D3E9F">
        <w:t xml:space="preserve">Логические уровни можно применять как при выработке стратегии брэнда (последовательности рекламных обращений), так и в тактических вопросах, т.е. при создании текстов и изображений.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9E7"/>
    <w:rsid w:val="002F0BD0"/>
    <w:rsid w:val="0031418A"/>
    <w:rsid w:val="004059E7"/>
    <w:rsid w:val="004D3E9F"/>
    <w:rsid w:val="005A2562"/>
    <w:rsid w:val="00B31E84"/>
    <w:rsid w:val="00E12572"/>
    <w:rsid w:val="00E40039"/>
    <w:rsid w:val="00EC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2EB32E-7E13-44E7-8CE6-DBC4EB89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E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59E7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1369</Words>
  <Characters>7804</Characters>
  <Application>Microsoft Office Word</Application>
  <DocSecurity>0</DocSecurity>
  <Lines>65</Lines>
  <Paragraphs>18</Paragraphs>
  <ScaleCrop>false</ScaleCrop>
  <Company>Home</Company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Нейрологические уровни и брендинг </dc:title>
  <dc:subject/>
  <dc:creator>Alena</dc:creator>
  <cp:keywords/>
  <dc:description/>
  <cp:lastModifiedBy>admin</cp:lastModifiedBy>
  <cp:revision>2</cp:revision>
  <dcterms:created xsi:type="dcterms:W3CDTF">2014-02-17T23:28:00Z</dcterms:created>
  <dcterms:modified xsi:type="dcterms:W3CDTF">2014-02-17T23:28:00Z</dcterms:modified>
</cp:coreProperties>
</file>