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49" w:rsidRPr="006D6040" w:rsidRDefault="00575749" w:rsidP="00575749">
      <w:pPr>
        <w:spacing w:before="120"/>
        <w:jc w:val="center"/>
        <w:rPr>
          <w:b/>
          <w:bCs/>
          <w:sz w:val="32"/>
          <w:szCs w:val="32"/>
        </w:rPr>
      </w:pPr>
      <w:r w:rsidRPr="006D6040">
        <w:rPr>
          <w:b/>
          <w:bCs/>
          <w:sz w:val="32"/>
          <w:szCs w:val="32"/>
        </w:rPr>
        <w:t>Николай Бухарин</w:t>
      </w:r>
    </w:p>
    <w:p w:rsidR="00575749" w:rsidRPr="00575749" w:rsidRDefault="00575749" w:rsidP="00575749">
      <w:pPr>
        <w:spacing w:before="120"/>
        <w:ind w:firstLine="567"/>
        <w:jc w:val="both"/>
        <w:rPr>
          <w:sz w:val="28"/>
          <w:szCs w:val="28"/>
        </w:rPr>
      </w:pPr>
      <w:r w:rsidRPr="00575749">
        <w:rPr>
          <w:sz w:val="28"/>
          <w:szCs w:val="28"/>
        </w:rPr>
        <w:t xml:space="preserve">С. Вольфсон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Бухарин Николай Иванович </w:t>
      </w:r>
      <w:r>
        <w:t>(</w:t>
      </w:r>
      <w:r w:rsidRPr="00126B51">
        <w:t>1888–</w:t>
      </w:r>
      <w:r>
        <w:t>)</w:t>
      </w:r>
      <w:r w:rsidRPr="00126B51">
        <w:t xml:space="preserve"> — один из виднейших теоретиков марксизма. Уже на школьной скамье </w:t>
      </w:r>
      <w:r>
        <w:t>(</w:t>
      </w:r>
      <w:r w:rsidRPr="00126B51">
        <w:t>1905</w:t>
      </w:r>
      <w:r>
        <w:t>)</w:t>
      </w:r>
      <w:r w:rsidRPr="00126B51">
        <w:t xml:space="preserve"> втягивается через подпольные организации учащихся в революционное движение, а в 1906 вступает в РСДРП (больш.). В период 1906–1910 ведет активную партийную работу в рабочих районах Москвы. В 1910 подвергается аресту и после тюремного заключения высылается в Онегу, откуда в 1911 бежит за границу.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1911–1916 — проводит в эмиграции, где дебютирует рядом теоретических работ, в большинстве своем посвященных вопросам политической экономии и направленных </w:t>
      </w:r>
      <w:r>
        <w:t xml:space="preserve"> </w:t>
      </w:r>
      <w:r w:rsidRPr="00126B51">
        <w:t xml:space="preserve">против Туган-Барановского, Бем-Баверка, Струве, Оппенгеймера. Одновременно принимая активное участие в международном рабочем движении (Австрия, Швейцария, Швеция, Америка и др. страны), Б. развернул и значительную публицистическую деятельность. После Февральской революции 1917 возвращается в Россию. VI Съездом партии избирается членом ЦК; с тех пор занимает в партии одно из руководящих мест и как теоретик и как политик. В настоящее время состоит членом Президиума Исполкома Коммунистического Интернационала, членом Политбюро ЦК ВКП (б), редактором ЦО партии — газеты «Правда», членом ЦИКа СССР и др.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Как теоретик Б. проявил себя преимущественно в области экономики и социологии.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На вопросах искусства Б. попутно останавливается в некоторых своих социологических работах. В качестве одного из руководителей осуществляемого Советским Союзом социалистического строительства, он неоднократно высказывался и по вопросам развития культуры в условиях диктатуры пролетариата и по вопросам художественной политики партии: «приходится запускать глаз и в эти области».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Определяя в своей «Теории исторического материализма» искусство как «систематизацию чувств в образах», Б. устанавливает всестороннюю зависимость искусства от детерминирующей его социальной обстановки. Эта зависимость выражается: 1) в необходимости определенного, позволяющего искусству развиваться, состояния производительных сил, 2) в выдвижении в разные эпохи различных родов искусства в качестве доминирующих, 3) в зависимости технического воплощения искусства от общего технического уровня данного общества, 4) во влиянии общественной организации на распределение участников в процессе коллективного художественного творчества, 5) в отражении формальными элементами искусства строя общественной жизни, 6) в воплощении в стиле искусства господствующей в обществе психологии и идеологии, 7) в подчинении произведения искусства общественной экономике.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Функциями же общественного развития являются для Б. язык и мышление, как и всякая идеологическая надстройка, испытывающие и при своем возникновении и при дальнейшем развитии сильнейшее давление со стороны общественной организации. Разделяя взгляды Людвига Нуаре на возникновение языка в процессе труда, осуществляемого первобытным человеком, Б. подчеркивает зависимость его эволюции от развития производительных сил. «Богатство жизни вызывает следом за собой и богатство языка... классовое, групповое, профессиональное деление общества накладывает свою печать и на язык». Изменяемость типов мышления также обусловлена развитием общества и его трудовой организации.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В подходе к вопросам культуры переходного периода Б. обнаруживает особую осторожность, неизменно подчеркивая, что решение проблемы культуры не может быть достигнуто посредством механического насилия. Он отмечает особую важность в этом отношении свободного соревнования творческих сил. Так, на совещании по вопросам о политике партии в художественной литературе, происходившем в мае 1924, Б. протестовал против «кавалерийских наскоков» при решении культурной проблемы, </w:t>
      </w:r>
      <w:r>
        <w:t>котор</w:t>
      </w:r>
      <w:r w:rsidRPr="00126B51">
        <w:t xml:space="preserve">ая «должна быть решена комбинированным методом, соответствующим разумной критике. А главное — конкуренцией в области соответствующей продукции». Точно так же на литературном совещании при ЦК ВКП (б) в феврале 1925 Б. отстаивал мысль, что культурная гегемония должна быть завоевана пролетариатом лишь при максимуме свободного соревнования, осуществляемого в рамках общего партийного руководства. Завладев политической властью, пролетариат не может автоматически распространить свою власть на культурную сферу. Специфическая трудность заключается здесь, по мнению Б., в том, что пролетариат должен еще «своим собственным горбом заработать в области литературы и культуры и т. д. историческое право на общественное руководство».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Исходя из этих предпосылок, Бухарин в вопросах художественной политики боролся на два фронта: комчванство и сдача позиций являются в его глазах одинаково вредными уклонами. Вот почему Б. резко полемизировал с напостовцами, пытавшимися на любого писателя, по своему художественному миросозерцанию не признаваемого пролетарием, обрушивать «огромнейшие дубины». Наоборот, руководство </w:t>
      </w:r>
      <w:r>
        <w:t>литератур</w:t>
      </w:r>
      <w:r w:rsidRPr="00126B51">
        <w:t xml:space="preserve">ой должно, по мнению Б., ограничиваться лишь общеидеологическими моментами; что же касается таких вопросов, как форма, стиль и целый ряд других, то в отношении их должна быть предоставлена возможность соревнования отдельных групп и течений. Вместе с тем Б. предостерегал от стремления «отмахиваться» от проблемы создания пролетарской культуры: «мы не должны отмахиваться от того, чтобы поддержать ростки, </w:t>
      </w:r>
      <w:r>
        <w:t>котор</w:t>
      </w:r>
      <w:r w:rsidRPr="00126B51">
        <w:t xml:space="preserve">ые имеются. Мы ни в коем случае не имеем права отказываться от этого, наоборот, мы должны понять, что это есть то динамическое начало, </w:t>
      </w:r>
      <w:r>
        <w:t>котор</w:t>
      </w:r>
      <w:r w:rsidRPr="00126B51">
        <w:t xml:space="preserve">ое в конце концов и составляет сердцевину нашего бытия».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Ставя во всю ширь проблему культурной революции, Б. в речи, произнесенной в январе 1928 на траурном заседании памяти В. И. Ленина, отмечал, в числе прочих успехов советского пролетариата, и его достижения по линии революции и в науке и в искусстве. Подытоживая культурные завоевания Октябрьского десятилетия, Б. выдвигал как одно из слагаемых этого итога и то обстоятельство, что «новая литература, очень близко к нам стоящая, у нас </w:t>
      </w:r>
      <w:r>
        <w:t xml:space="preserve"> </w:t>
      </w:r>
      <w:r w:rsidRPr="00126B51">
        <w:t xml:space="preserve">в значительной степени уже народилась», что в Советском Союзе искусство «начинает говорить более или менее нашим языком и притом не запинаясь, не сюсюкая и не оглядываясь по сторонам...».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Высказывания Б. по поводу отдельных </w:t>
      </w:r>
      <w:r>
        <w:t>литературны</w:t>
      </w:r>
      <w:r w:rsidRPr="00126B51">
        <w:t xml:space="preserve">х явлений и писателей немногочисленны. Когда Б. видит, что какой-либо писатель или целое </w:t>
      </w:r>
      <w:r>
        <w:t>литературно</w:t>
      </w:r>
      <w:r w:rsidRPr="00126B51">
        <w:t xml:space="preserve">е течение делаются выразителем враждебных рабочему классу настроений, Б. открывает по этому течению сокрушительный огонь. Так было, напр., с есенинщиной, по </w:t>
      </w:r>
      <w:r>
        <w:t>котор</w:t>
      </w:r>
      <w:r w:rsidRPr="00126B51">
        <w:t xml:space="preserve">ой Б. дал залп, как по явлению, отразившему самые отрицательные черты деревни и так наз. «национального характера». </w:t>
      </w:r>
    </w:p>
    <w:p w:rsidR="00575749" w:rsidRDefault="00575749" w:rsidP="00575749">
      <w:pPr>
        <w:spacing w:before="120"/>
        <w:ind w:firstLine="567"/>
        <w:jc w:val="both"/>
      </w:pPr>
      <w:r w:rsidRPr="00126B51">
        <w:t xml:space="preserve">Б. — выдающийся публицист. Меткий, злой, беспощадный полемист, он подымается до высокого пафоса, когда заговаривает о роли рабочего класса в современной истории, о перспективах международного революционного движения, о новом человеке, </w:t>
      </w:r>
      <w:r>
        <w:t>котор</w:t>
      </w:r>
      <w:r w:rsidRPr="00126B51">
        <w:t xml:space="preserve">ого создает наша эпоха. Его произведения отличает вера в новую, творимую рабочим классом культуру, «пред </w:t>
      </w:r>
      <w:r>
        <w:t>котор</w:t>
      </w:r>
      <w:r w:rsidRPr="00126B51">
        <w:t xml:space="preserve">ой капиталистическая цивилизация будет выглядеть так же, как выглядит „собачий вальс“ перед героическими симфониями Бетховена...». Памфлеты Бухарина, вроде «Енчмениады» или «О мировой революции, нашей стране, культуре», «Ответ акад. Павлову» и пр. — представляют собой образцы полемического искусства, развертывающего ряд серьезных социологических проблем. Мастерски разнообразя свои стилистические построения (ирония, сарказм, метафора, гипербола, сравнение, эмоциональный вопрос и пр.), Бухарин в то же время умеет быть глубоко популярным. Он то насыщает свой язык оборотами, заимствованными из живой разговорной речи, крылатыми словами и словечками, почерпнутыми из самой рабочей гущи, то включает в речь ряд образов, заимствуемых из художественной литературы. </w:t>
      </w:r>
    </w:p>
    <w:p w:rsidR="00575749" w:rsidRPr="00575749" w:rsidRDefault="00575749" w:rsidP="00575749">
      <w:pPr>
        <w:spacing w:before="120"/>
        <w:jc w:val="center"/>
        <w:rPr>
          <w:b/>
          <w:bCs/>
          <w:sz w:val="28"/>
          <w:szCs w:val="28"/>
        </w:rPr>
      </w:pPr>
      <w:r w:rsidRPr="00575749">
        <w:rPr>
          <w:b/>
          <w:bCs/>
          <w:sz w:val="28"/>
          <w:szCs w:val="28"/>
        </w:rPr>
        <w:t>Список литературы</w:t>
      </w:r>
    </w:p>
    <w:p w:rsidR="00575749" w:rsidRDefault="00575749" w:rsidP="00575749">
      <w:pPr>
        <w:spacing w:before="120"/>
        <w:ind w:firstLine="567"/>
        <w:jc w:val="both"/>
      </w:pPr>
      <w:r w:rsidRPr="00126B51">
        <w:t xml:space="preserve">I. Взгляды Б. на вопросы культуры, искусства и </w:t>
      </w:r>
      <w:r>
        <w:t>литератур</w:t>
      </w:r>
      <w:r w:rsidRPr="00126B51">
        <w:t xml:space="preserve">ы изложены, помимо «Теории исторического материализма», в следующих его выступлениях: «Речь на совещании о политике партии в художественной </w:t>
      </w:r>
      <w:r>
        <w:t>литератур</w:t>
      </w:r>
      <w:r w:rsidRPr="00126B51">
        <w:t>е 9 мая 1924» (напечатана в сборнике «Вопросы культуры при диктатуре пролетариата», М. — Л., 1925, стр. 81–85)</w:t>
      </w:r>
      <w:r>
        <w:t xml:space="preserve"> </w:t>
      </w:r>
    </w:p>
    <w:p w:rsidR="00575749" w:rsidRDefault="00575749" w:rsidP="00575749">
      <w:pPr>
        <w:spacing w:before="120"/>
        <w:ind w:firstLine="567"/>
        <w:jc w:val="both"/>
      </w:pPr>
      <w:r w:rsidRPr="00126B51">
        <w:t xml:space="preserve">«Речь на </w:t>
      </w:r>
      <w:r>
        <w:t>литературно</w:t>
      </w:r>
      <w:r w:rsidRPr="00126B51">
        <w:t>м совещании при ЦК ВКП(б) в феврале 1925» (напечатана там же)</w:t>
      </w:r>
      <w:r>
        <w:t xml:space="preserve"> </w:t>
      </w:r>
    </w:p>
    <w:p w:rsidR="00575749" w:rsidRDefault="00575749" w:rsidP="00575749">
      <w:pPr>
        <w:spacing w:before="120"/>
        <w:ind w:firstLine="567"/>
        <w:jc w:val="both"/>
      </w:pPr>
      <w:r w:rsidRPr="00126B51">
        <w:t>«Судьбы русской интеллигенции», речь на диспуте 10 марта 1925 (там же)</w:t>
      </w:r>
      <w:r>
        <w:t xml:space="preserve"> </w:t>
      </w:r>
    </w:p>
    <w:p w:rsidR="00575749" w:rsidRDefault="00575749" w:rsidP="00575749">
      <w:pPr>
        <w:spacing w:before="120"/>
        <w:ind w:firstLine="567"/>
        <w:jc w:val="both"/>
      </w:pPr>
      <w:r w:rsidRPr="00126B51">
        <w:t>«О старинных традициях и современном культурном строительстве» («Революция и культура», 1927, № 1)</w:t>
      </w:r>
      <w:r>
        <w:t xml:space="preserve"> </w:t>
      </w:r>
    </w:p>
    <w:p w:rsidR="00575749" w:rsidRDefault="00575749" w:rsidP="00575749">
      <w:pPr>
        <w:spacing w:before="120"/>
        <w:ind w:firstLine="567"/>
        <w:jc w:val="both"/>
      </w:pPr>
      <w:r w:rsidRPr="00126B51">
        <w:t>«Злые заметки», М. — Л., 1927</w:t>
      </w:r>
      <w:r>
        <w:t xml:space="preserve"> </w:t>
      </w:r>
    </w:p>
    <w:p w:rsidR="00575749" w:rsidRDefault="00575749" w:rsidP="00575749">
      <w:pPr>
        <w:spacing w:before="120"/>
        <w:ind w:firstLine="567"/>
        <w:jc w:val="both"/>
      </w:pPr>
      <w:r w:rsidRPr="00126B51">
        <w:t>«Ленинизм и проблема культурной революции», М. — Л., 1928</w:t>
      </w:r>
      <w:r>
        <w:t xml:space="preserve"> </w:t>
      </w:r>
    </w:p>
    <w:p w:rsidR="00575749" w:rsidRPr="00126B51" w:rsidRDefault="00575749" w:rsidP="00575749">
      <w:pPr>
        <w:spacing w:before="120"/>
        <w:ind w:firstLine="567"/>
        <w:jc w:val="both"/>
      </w:pPr>
      <w:r w:rsidRPr="00126B51">
        <w:t xml:space="preserve">«Чего хотим мы от Горького» («Правда» от 29/III 1928, «Нар. просв.» № 4, 1928). </w:t>
      </w:r>
    </w:p>
    <w:p w:rsidR="00575749" w:rsidRDefault="00575749" w:rsidP="00575749">
      <w:pPr>
        <w:spacing w:before="120"/>
        <w:ind w:firstLine="567"/>
        <w:jc w:val="both"/>
      </w:pPr>
      <w:r w:rsidRPr="00126B51">
        <w:t xml:space="preserve">II. Полонский Вяч., Н. И. Б. о худож. </w:t>
      </w:r>
      <w:r>
        <w:t>литератур</w:t>
      </w:r>
      <w:r w:rsidRPr="00126B51">
        <w:t xml:space="preserve">е, в кн.: Очерки </w:t>
      </w:r>
      <w:r>
        <w:t>литературно</w:t>
      </w:r>
      <w:r w:rsidRPr="00126B51">
        <w:t xml:space="preserve">го движения революц. эпохи, М., 1929.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749"/>
    <w:rsid w:val="00002B5A"/>
    <w:rsid w:val="0010437E"/>
    <w:rsid w:val="00126B51"/>
    <w:rsid w:val="0039335F"/>
    <w:rsid w:val="004C2795"/>
    <w:rsid w:val="00575749"/>
    <w:rsid w:val="00616072"/>
    <w:rsid w:val="006A5004"/>
    <w:rsid w:val="006D6040"/>
    <w:rsid w:val="00710178"/>
    <w:rsid w:val="008B35EE"/>
    <w:rsid w:val="00905CC1"/>
    <w:rsid w:val="00B42C45"/>
    <w:rsid w:val="00B47B6A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C94F2C-A57B-48AF-BEEC-4CCB4E5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75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Бухарин</vt:lpstr>
    </vt:vector>
  </TitlesOfParts>
  <Company>Home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Бухарин</dc:title>
  <dc:subject/>
  <dc:creator>User</dc:creator>
  <cp:keywords/>
  <dc:description/>
  <cp:lastModifiedBy>admin</cp:lastModifiedBy>
  <cp:revision>2</cp:revision>
  <dcterms:created xsi:type="dcterms:W3CDTF">2014-02-15T03:53:00Z</dcterms:created>
  <dcterms:modified xsi:type="dcterms:W3CDTF">2014-02-15T03:53:00Z</dcterms:modified>
</cp:coreProperties>
</file>