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A6EA3" w:rsidRP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E4C29">
        <w:rPr>
          <w:sz w:val="28"/>
          <w:szCs w:val="28"/>
        </w:rPr>
        <w:t>Реферат</w:t>
      </w:r>
    </w:p>
    <w:p w:rsidR="00CA6EA3" w:rsidRP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Коммерция</w:t>
      </w:r>
    </w:p>
    <w:p w:rsidR="00CA6EA3" w:rsidRPr="007E4C29" w:rsidRDefault="007E4C29" w:rsidP="007E4C29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CA6EA3" w:rsidRPr="007E4C29">
        <w:rPr>
          <w:sz w:val="28"/>
          <w:szCs w:val="28"/>
        </w:rPr>
        <w:t>Нормативная база контрактов купли-продажи</w:t>
      </w:r>
    </w:p>
    <w:p w:rsidR="002B273A" w:rsidRPr="007E4C29" w:rsidRDefault="007E4C29" w:rsidP="007E4C29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273A" w:rsidRPr="007E4C29">
        <w:rPr>
          <w:b/>
          <w:sz w:val="28"/>
          <w:szCs w:val="28"/>
        </w:rPr>
        <w:t xml:space="preserve">1. </w:t>
      </w:r>
      <w:r w:rsidR="00F13B2A" w:rsidRPr="007E4C29">
        <w:rPr>
          <w:b/>
          <w:sz w:val="28"/>
          <w:szCs w:val="28"/>
        </w:rPr>
        <w:t>П</w:t>
      </w:r>
      <w:r w:rsidR="002B273A" w:rsidRPr="007E4C29">
        <w:rPr>
          <w:b/>
          <w:sz w:val="28"/>
          <w:szCs w:val="28"/>
        </w:rPr>
        <w:t>оложения</w:t>
      </w:r>
      <w:r w:rsidR="00F13B2A" w:rsidRPr="007E4C29">
        <w:rPr>
          <w:b/>
          <w:sz w:val="28"/>
          <w:szCs w:val="28"/>
        </w:rPr>
        <w:t xml:space="preserve"> для российских коммерсантов при ведении внутренней и внешней торговли</w:t>
      </w:r>
    </w:p>
    <w:p w:rsidR="00F13B2A" w:rsidRPr="007E4C29" w:rsidRDefault="00F13B2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73A" w:rsidRPr="007E4C29" w:rsidRDefault="00CE2138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</w:t>
      </w:r>
      <w:r w:rsidR="002B273A" w:rsidRPr="007E4C29">
        <w:rPr>
          <w:sz w:val="28"/>
          <w:szCs w:val="28"/>
        </w:rPr>
        <w:t>базой для российских коммерсантов при ведении внутренней и внешней торговли является Гражданский кодекс Российской Федерации (ГК РФ).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При совершении внешнеторговых операций российская сторона и иностранный контрагент обязаны учитывать обязательные положения двусторонних межгосударственных договоров в той их части, которая относится к регулированию торговых отношений. При этом всегда следует иметь в виду, что положения международных договоров превалируют над нормами национального законодательства.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К таким международным договорам относятся подписанные правительствами стран документы, которые могут иметь различные названия, например «Договоры о торговле и мореплавании», «Договоры о торговом и экономическом сотрудничестве», «Соглашения о торговле и платежах» и т.д.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Основными положениями таких договоров и соглашений, которые могут интересовать коммерсантов, являются: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определение взаимного торгового режима, влияющего на таможенное обложение товаров;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количественные и иные ограничения торговли;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валюта расчетов по торговым и иным платежам;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способы взаимных зачетов при оплате поставок (клиринговые соглашения);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принятие единых для договаривающихся сторон общих условий поставок товаров и т.д.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Поэтому перед началом внешнеторговых операций следует изучить действующие между Российской Федерацией и страной возможного контрагента торговые договоры, обязательные условия которых должны быть учтены в условиях контрактов. Такое</w:t>
      </w:r>
      <w:r w:rsidR="00F13B2A" w:rsidRPr="007E4C29">
        <w:rPr>
          <w:sz w:val="28"/>
          <w:szCs w:val="28"/>
        </w:rPr>
        <w:t xml:space="preserve"> </w:t>
      </w:r>
      <w:r w:rsidRPr="007E4C29">
        <w:rPr>
          <w:sz w:val="28"/>
          <w:szCs w:val="28"/>
        </w:rPr>
        <w:t>изучение условий торговли можно выполнить самостоятельно либо с помощью консультационных фирм, что чаще обеспечивает более оперативное получение результатов с меньшими затратами.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В 60</w:t>
      </w:r>
      <w:r w:rsidR="00F13B2A" w:rsidRPr="007E4C29">
        <w:rPr>
          <w:sz w:val="28"/>
          <w:szCs w:val="28"/>
        </w:rPr>
        <w:t>-</w:t>
      </w:r>
      <w:r w:rsidRPr="007E4C29">
        <w:rPr>
          <w:sz w:val="28"/>
          <w:szCs w:val="28"/>
        </w:rPr>
        <w:t>80-х гг. в практику торговли между СССР и странами — членами Совета экономической взаимопомощи (СЭВ), в который входили бывшие социалистические страны Восточной Европы, а также с Кубой, Социалистической Республикой Вьетнам (СРВ), Корейской Народно-демократической Республикой (КНДР), Китайской Народной Республикой (КНР), Югославией и Финляндией были введены Общие условия поставок товаров и ряд других общих условий, регулирующих, например, поставки машинно-технической продукции, техническое обслуживание и т.д. Общие условия со странами — членами СЭВ носили обязательный характер и превалировали над нормами национального права. С Югославией и Финляндией они носили факультативный характер. Общие условия разрабатывались квалифицированными юристами и прошли апробацию торговлей и арбитражной практикой. В свое время их применение способствовало становлению и развитию сбалансированных отношений между торговыми партнерами и содействовало повышению экономической эффективности торгового сотрудничества.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В связи с этим, если контрагентом по контракту является фирма из перечисленных стран, независимо от того, действуют или уже не действуют соглашения, предусматривающие или рекомендующие применение Общих условий, целесообразно обсудить с ним возможность их применения в целом, либо отдельными разделами, или с исключением неприемлемых разделов и статей. Если в контракте сделать ссылку на общие условия или отдельные их части, то при арбитражном разбирательстве споров они будут рассматриваться как источники права.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Нет сомнения в том, что преодоление экономических кризисов в странах, осуществляющих переход к рыночной экономике, создаст условия для их экономического развития и восстановления разрушенных экономических связей. Тогда, несомненно,</w:t>
      </w:r>
      <w:r w:rsidR="00F13B2A" w:rsidRPr="007E4C29">
        <w:rPr>
          <w:sz w:val="28"/>
          <w:szCs w:val="28"/>
        </w:rPr>
        <w:t xml:space="preserve"> в</w:t>
      </w:r>
      <w:r w:rsidRPr="007E4C29">
        <w:rPr>
          <w:sz w:val="28"/>
          <w:szCs w:val="28"/>
        </w:rPr>
        <w:t>станет вопрос о возвращении во взаимной торговле к Общим условиям на апробированной практикой базе с внесением необходимых корректировок, например, в разделы, связанные с системой взаимных расчетов.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Подтверждением этой перспективы является разработка и принятие в 1992 г. Соглашения об общих условиях поставок между организациями государств — участников Содружества Независимых Государств. Это Соглашение распространяется на отношения только между партнерами из разных государств СНГ независимо от форм собственности и организационно-правовых форм, в которых созданы предприятия партнеров. При этом следует иметь в виду, что упомянутое Соглашение стран СНГ относится не к договорам купли-продажи товаров, регулируемым ст. 454</w:t>
      </w:r>
      <w:r w:rsidR="00F13B2A" w:rsidRPr="007E4C29">
        <w:rPr>
          <w:sz w:val="28"/>
          <w:szCs w:val="28"/>
        </w:rPr>
        <w:t>-</w:t>
      </w:r>
      <w:r w:rsidRPr="007E4C29">
        <w:rPr>
          <w:sz w:val="28"/>
          <w:szCs w:val="28"/>
        </w:rPr>
        <w:t>505 ГК РФ, а к договорам поставки, заключаемым в рамках межгосударственных соглашений о взаимных поставках товаров. Совершенно очевидно, что необходимо сделать еще один шаг к экономической интеграции, разработав Общие условия поставок товаров по контрактам купли-продажи.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Другой важнейшей формой нормативного регулирования международных торговых отношений являются разрабатываемые международными организациями многосторонние конвенции. Основополагающей для составления условий договоров международной купли-продажи и трактования их условий является Конвенция ООН о договорах международной купли-продажи товаров 1980 г., так называемая Венская конвенция. Россия присоединилась к этой Конвенции с 1 сентября 1991 г. Конвенция применима к торговым партнерам, если их главные торговые предприятия находятся в разных странах — участницах этой Конвенции. Всего к 1997 г. Конвенцию подписало 44 страны, в том числе Россия, Украина, Белоруссия, Грузия, Молдавия.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При присоединении к Венской конвенции было оговорено условие, что в торговле с российскими участниками контракты в устной форме не применяются. Венская конвенция содержит ряд</w:t>
      </w:r>
      <w:r w:rsidR="00F13B2A" w:rsidRPr="007E4C29">
        <w:rPr>
          <w:sz w:val="28"/>
          <w:szCs w:val="28"/>
        </w:rPr>
        <w:t xml:space="preserve"> о</w:t>
      </w:r>
      <w:r w:rsidRPr="007E4C29">
        <w:rPr>
          <w:sz w:val="28"/>
          <w:szCs w:val="28"/>
        </w:rPr>
        <w:t>граничений ее применения. Она не применяется при купле-продаже товаров личного пользования, при аукционных торгах, при торговле ценными бумагами и деньгами, судами воздушного и водного транспорта, электроэнергией, а также для контрактов подрядного характера. Конвенция предусматривает право продавца и покупателя, страны которых являются ее участницами, вообще исключить ее применение либо отступить от любого из ее положений, внеся соответствующие оговорки в текст контракта.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Поэтому, когда не удается договориться с торговым партнером о том, право какой стороны будет применяться при составлении и трактовании условий контракта, можно рекомендовать договориться с ним о ссылке на Венскую конвенцию при условии, если его страна также является участницей этой Конвенции. Такая договоренность выгодна и для российских коммерсантов, поскольку облегчает согласование условий договоров и позволяет сделать их более короткими. Кроме того, для российских коммерсантов и юристов условия Венской конвенции уже достаточно известны и во многом сходны с положениями ст. 454</w:t>
      </w:r>
      <w:r w:rsidR="00F13B2A" w:rsidRPr="007E4C29">
        <w:rPr>
          <w:sz w:val="28"/>
          <w:szCs w:val="28"/>
        </w:rPr>
        <w:t>-</w:t>
      </w:r>
      <w:r w:rsidRPr="007E4C29">
        <w:rPr>
          <w:sz w:val="28"/>
          <w:szCs w:val="28"/>
        </w:rPr>
        <w:t>491 ГК РФ. В случае достижения такого согласия в контракт может быть включена следующая оговорка: «Во всем остальном, что не оговорено в настоящем Контракте, действуют положения Венской конвенции 1980 г.».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Однако если торговые отношения между странами партнеров по контракту регулируются обязательными Общими условиями, то они имеют превалирующее значение над международными конвенциями.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При заключении контрактов купли-продажи с партнерами из стран СНГ, являющихся участницами Венской конвенции, можно также рекомендовать ее применение.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По мере развития и укрепления рыночных отношений в Российской Федерации неизбежно усиление процесса сближения международных правовых норм и обычаев с</w:t>
      </w:r>
      <w:r w:rsidR="00F13B2A" w:rsidRPr="007E4C29">
        <w:rPr>
          <w:sz w:val="28"/>
          <w:szCs w:val="28"/>
        </w:rPr>
        <w:t xml:space="preserve"> </w:t>
      </w:r>
      <w:r w:rsidRPr="007E4C29">
        <w:rPr>
          <w:sz w:val="28"/>
          <w:szCs w:val="28"/>
        </w:rPr>
        <w:t>практикой внутрироссийских коммерческих отношений. Можно с определенной уверенностью утверждать, что в ближайшее десятилетие коммерческие отношения будут все более приобретать цивилизованный характер и приблизятся к тому уровню, который считается нормой в зарубежных странах.</w:t>
      </w:r>
    </w:p>
    <w:p w:rsidR="00CA6EA3" w:rsidRPr="007E4C29" w:rsidRDefault="00CA6EA3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E4C29">
        <w:rPr>
          <w:b/>
          <w:sz w:val="28"/>
          <w:szCs w:val="28"/>
        </w:rPr>
        <w:t>2. Базисные условия поставок</w:t>
      </w:r>
    </w:p>
    <w:p w:rsidR="00F13B2A" w:rsidRPr="00D751B7" w:rsidRDefault="005E5830" w:rsidP="007E4C29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751B7">
        <w:rPr>
          <w:color w:val="FFFFFF"/>
          <w:sz w:val="28"/>
          <w:szCs w:val="28"/>
        </w:rPr>
        <w:t xml:space="preserve">торговля международный </w:t>
      </w:r>
      <w:r w:rsidR="00CE2138" w:rsidRPr="00D751B7">
        <w:rPr>
          <w:color w:val="FFFFFF"/>
          <w:sz w:val="28"/>
          <w:szCs w:val="28"/>
        </w:rPr>
        <w:t>контракт</w:t>
      </w:r>
      <w:r w:rsidRPr="00D751B7">
        <w:rPr>
          <w:color w:val="FFFFFF"/>
          <w:sz w:val="28"/>
          <w:szCs w:val="28"/>
        </w:rPr>
        <w:t xml:space="preserve"> поставка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Условия внутрироссийских и международных контрактов купли-продажи товаров всегда содержат комплекс взаимных обязательств, связанных с процессом отгрузки и транспортировки товаров, включая обязательства по проверке, упаковке и маркировке товаров, найму транспортных средств, оплате перевозки товаров, транспортному страхованию и таможенной очистке грузов, извещению покупателей о датах поставок товаров, предоставлению продавцами товаросопроводительных и платежных документов, принятию покупателями поставок и оплате товаров. Кроме того, договоры должны предусматривать связанные с выполнением перечисленных обязательств важные положения, определяющие моменты исполнения продавцами обязательств по поставке товаров и перехода с продавцов на покупателей рисков повреждения или утраты товаров и т.д.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Только простое перечисление взаимных обязательств и положений, связывающих продавцов и покупателей, показывает, насколько важно юридически точно согласовать и изложить их в едином документе. С этой трудностью несколько столетий сталкивались предыдущие поколения коммерсантов. Однако с течением времени они стали замечать, что при одинаковых условиях торговли взаимные обязательства продавцов и покупателей настолько сходны, что становятся торговыми обычаями и их уже можно не излагать подробно в контрактах, а обозначать символами. Так, например, символом CIF стали обозначать, что товар продан/куплен с поставкой водным транспортом в указанный в контракте порт, а в обязанности продавца входит проверка товара, его упаковка и маркировка, если необходимо, то получение экспортной лицензии, транспортировка товара в порт отправки, таможенная очист</w:t>
      </w:r>
      <w:r w:rsidR="00F13B2A" w:rsidRPr="007E4C29">
        <w:rPr>
          <w:sz w:val="28"/>
          <w:szCs w:val="28"/>
        </w:rPr>
        <w:t>к</w:t>
      </w:r>
      <w:r w:rsidRPr="007E4C29">
        <w:rPr>
          <w:sz w:val="28"/>
          <w:szCs w:val="28"/>
        </w:rPr>
        <w:t>а товара, фрахт судна, погрузка на судно, страхование товара на период транспортировки, получение от капитана судна свидетельства о принятии товара к перевозке (коносамента или иного транспортного документа), извещение покупателя об отплытии судна, передача с грузом товаросопроводительных документов и направление покупателю непосредственно или через банк комплектов платежных документов, предусмотренных контрактом. Покупатель при условиях OF обязан принять товар в порту назначения и оплатить его стоимость по получении от продавца комплекта платежных документов. Кроме того, условия C</w:t>
      </w:r>
      <w:r w:rsidR="006B4C88" w:rsidRPr="007E4C29">
        <w:rPr>
          <w:sz w:val="28"/>
          <w:szCs w:val="28"/>
          <w:lang w:val="en-US"/>
        </w:rPr>
        <w:t>I</w:t>
      </w:r>
      <w:r w:rsidRPr="007E4C29">
        <w:rPr>
          <w:sz w:val="28"/>
          <w:szCs w:val="28"/>
        </w:rPr>
        <w:t>F предусматривают, что риск случайного повреждения или утраты товара переходит с продавца на покупателя при погрузке, в момент переноса груза через поручни борта судна, а исполнением обязательств является завершение погрузки товара на судно, подтвержденное транспортным документом с указанием на нем даты.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Комплексы обязательств продавцов и покупателей при различных условиях купли-продажи товаров называются базисными условиями контрактов. Поскольку базисные условия длительное время носили характер обычаев, то при их применении нередко между продавцами и покупателями возникали разногласия в трактовании взаимных прав и обязанностей.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Чтобы избежать таких разногласий, наносящих вред участникам торговых операций, Международная торговая палата (Париж) разработала единые для всех Международные правила толкования торговых терминов «Инкотермс» (Incoterms). С развитием мировой торговли менялись ее условия и возникала необходимость в разработке новых обычаев и в их толковании. Поэтому было опубликовано несколько редакций «Инкотермс». Последняя редакция была принята в 1990 г. и содержит толкование 13 видов базисных условий, в том числе 7 из них могут быть использованы для любого вида транспорта, включая смешанные перевозки, один [FCA — франко-пункт (станция, аэропорт) отправления] — для воздушно-то транспорта, шесть — для морского и внутреннего водного транспорта.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Важнейшей особенностью «Инкотермс» является то, что эти правила позволяют продавцам и покупателям отступать от их положений, за исключением применения базисных условий, предназначенных для водного транспорта, к поставкам наземным транспортом. Например, нельзя для поставок железнодорожным,</w:t>
      </w:r>
      <w:r w:rsidR="006B4C88" w:rsidRPr="007E4C29">
        <w:rPr>
          <w:sz w:val="28"/>
          <w:szCs w:val="28"/>
        </w:rPr>
        <w:t xml:space="preserve"> а</w:t>
      </w:r>
      <w:r w:rsidRPr="007E4C29">
        <w:rPr>
          <w:sz w:val="28"/>
          <w:szCs w:val="28"/>
        </w:rPr>
        <w:t>втомобильным или авиационным транспортом применять базисные условия CIF Москва или CIF Красноярск. Такие базисные условия могут быть приняты, если грузы предполагается поставить по каналу им. Москвы или по реке Енисей.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Право отступать в договорах от условий «Инкотермс» делает их практически универсальным документом для всех случаев, встречающихся в торговой практике. Например, базисное условие EXW (франко-завод) предусматривает, что продавец передает товар в распоряжение покупателя на заводе или на складе завода и не отвечает за его погрузку и дальнейшую транспортировку. Продавец и покупатель могут указать в договоре, что товар будет поставлен на условиях «такой-то завод», наприме</w:t>
      </w:r>
      <w:r w:rsidR="006B4C88" w:rsidRPr="007E4C29">
        <w:rPr>
          <w:sz w:val="28"/>
          <w:szCs w:val="28"/>
        </w:rPr>
        <w:t>р, со следующими отступлениями:</w:t>
      </w:r>
      <w:r w:rsidRPr="007E4C29">
        <w:rPr>
          <w:sz w:val="28"/>
          <w:szCs w:val="28"/>
        </w:rPr>
        <w:t xml:space="preserve"> «Товар будет погружен на транспортное средство покупателя средствами продавца и за счет продавца, однако продавец не отвечает за возможные риски повреждения или утраты товара при погрузке».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При формировании условий контрактов не следует пытаться самостоятельно составить базисные условия, поскольку это практически всегда ведет к недоработкам и ошибкам, которые впоследствии, при исполнении договоров, могут вызвать убытки и трудно разрешимые разногласия. Следует стремиться согласовать с партнером наиболее подходящее стандартное базисное условие и только в случае особой необходимости сделать от него отступление. Эта рекомендация касается не только договоров международной купли-продажи, но и договоров, заключаемых между российскими организациями, что позволит поднять общий коммерческий уровень работы фирм и организаций. Все коммерсанты, занимающиеся операциями купли-продажи товаров, подрядного строительства, кооперационных связей, аренды, лизинга и т.д., должны иметь «Инкотермс-90» в качестве постоянного настольного справочника для работы.</w:t>
      </w:r>
    </w:p>
    <w:p w:rsidR="002B273A" w:rsidRPr="007E4C29" w:rsidRDefault="002B273A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Ниже (табл. 1) дается перечень основных терминов «Инкотермс-90» и условий их применения.</w:t>
      </w:r>
    </w:p>
    <w:p w:rsidR="007E4C29" w:rsidRPr="005E5830" w:rsidRDefault="007E4C29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73A" w:rsidRPr="007E4C29" w:rsidRDefault="006B4C88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Т</w:t>
      </w:r>
      <w:r w:rsidR="002B273A" w:rsidRPr="007E4C29">
        <w:rPr>
          <w:sz w:val="28"/>
          <w:szCs w:val="28"/>
        </w:rPr>
        <w:t xml:space="preserve">аблица 1. Основные термины </w:t>
      </w:r>
      <w:r w:rsidRPr="007E4C29">
        <w:rPr>
          <w:sz w:val="28"/>
          <w:szCs w:val="28"/>
        </w:rPr>
        <w:t>и</w:t>
      </w:r>
      <w:r w:rsidR="002B273A" w:rsidRPr="007E4C29">
        <w:rPr>
          <w:sz w:val="28"/>
          <w:szCs w:val="28"/>
        </w:rPr>
        <w:t xml:space="preserve"> условия поставок «Инкотермс - 90 »</w:t>
      </w:r>
    </w:p>
    <w:tbl>
      <w:tblPr>
        <w:tblW w:w="47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5205"/>
      </w:tblGrid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Вид транспорта</w:t>
            </w: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Термин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Условия поставок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Любой, включая смешанный</w:t>
            </w: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EXW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 завода (с указанием пункта выдачи товара)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FCA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Франко-перевозчик (с указанием пункта отправления)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СРТ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Перевозка оплачена до (с указанием пункта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CIP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Перевозка и страхование оплачены до (указанного пункта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DAF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Поставка на границе (с указанием пункта перехода)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DDU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Поставка без уплаты пошлины (в указанный пункт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DDP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Поставка с оплатой пошлины (в указанный пункт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Железнодорожный и воздушный</w:t>
            </w: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FCA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Франко-перевозчик {с указанием пункта отправления)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Морской и речной</w:t>
            </w: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FAS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Свободно вдоль судна (с указанием порта отправления)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FOB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Свободно на судне (с указанием порта отправления)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CFR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Стоимость и фрахт (с указанием порта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CIF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Стоимость, фрахт и страхование (с указанием порта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DES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Поставка с судна (с указанием порта назначения)</w:t>
            </w:r>
          </w:p>
        </w:tc>
      </w:tr>
      <w:tr w:rsidR="006B4C88" w:rsidRPr="007E4C29" w:rsidTr="00CE2138">
        <w:tc>
          <w:tcPr>
            <w:tcW w:w="1557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551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DEQ</w:t>
            </w:r>
          </w:p>
        </w:tc>
        <w:tc>
          <w:tcPr>
            <w:tcW w:w="2892" w:type="pct"/>
          </w:tcPr>
          <w:p w:rsidR="006B4C88" w:rsidRPr="007E4C29" w:rsidRDefault="006B4C88" w:rsidP="007E4C29">
            <w:pPr>
              <w:widowControl/>
              <w:suppressAutoHyphens/>
              <w:spacing w:line="360" w:lineRule="auto"/>
              <w:jc w:val="both"/>
              <w:rPr>
                <w:szCs w:val="28"/>
              </w:rPr>
            </w:pPr>
            <w:r w:rsidRPr="007E4C29">
              <w:rPr>
                <w:szCs w:val="28"/>
              </w:rPr>
              <w:t>Поставка с причала (с указанием порта назначения)</w:t>
            </w:r>
          </w:p>
        </w:tc>
      </w:tr>
    </w:tbl>
    <w:p w:rsidR="007E4C29" w:rsidRDefault="007E4C29" w:rsidP="007E4C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273A" w:rsidRPr="007E4C29" w:rsidRDefault="007E4C29" w:rsidP="007E4C29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273A" w:rsidRPr="007E4C29">
        <w:rPr>
          <w:b/>
          <w:sz w:val="28"/>
          <w:szCs w:val="28"/>
        </w:rPr>
        <w:t>Список литературы</w:t>
      </w:r>
    </w:p>
    <w:p w:rsidR="00CA6EA3" w:rsidRPr="007E4C29" w:rsidRDefault="00CA6EA3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</w:p>
    <w:p w:rsidR="002B273A" w:rsidRPr="007E4C29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 xml:space="preserve">Арбитражный процессуальный кодекс Российской Федерации. Федеральный конституционный закон об арбитражных судах в Российской Федерации. — М.: Фирма «Спарк», </w:t>
      </w:r>
      <w:r w:rsidR="00CA6EA3" w:rsidRPr="007E4C29">
        <w:rPr>
          <w:sz w:val="28"/>
          <w:szCs w:val="28"/>
        </w:rPr>
        <w:t>200</w:t>
      </w:r>
      <w:r w:rsidRPr="007E4C29">
        <w:rPr>
          <w:sz w:val="28"/>
          <w:szCs w:val="28"/>
        </w:rPr>
        <w:t>5.</w:t>
      </w:r>
    </w:p>
    <w:p w:rsidR="002B273A" w:rsidRPr="007E4C29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 xml:space="preserve">Зыкин И. С. Внешнеэкономические операции: право и практика. — М.: Международные отношения, </w:t>
      </w:r>
      <w:r w:rsidR="00CA6EA3" w:rsidRPr="007E4C29">
        <w:rPr>
          <w:sz w:val="28"/>
          <w:szCs w:val="28"/>
        </w:rPr>
        <w:t>2008</w:t>
      </w:r>
      <w:r w:rsidRPr="007E4C29">
        <w:rPr>
          <w:sz w:val="28"/>
          <w:szCs w:val="28"/>
        </w:rPr>
        <w:t>.</w:t>
      </w:r>
    </w:p>
    <w:p w:rsidR="002B273A" w:rsidRPr="007E4C29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 xml:space="preserve">Комментарий части второй Гражданского кодекса Российской Федерации для предпринимателей. М.: Фонд «Правовая культура», </w:t>
      </w:r>
      <w:r w:rsidR="00CA6EA3" w:rsidRPr="007E4C29">
        <w:rPr>
          <w:sz w:val="28"/>
          <w:szCs w:val="28"/>
        </w:rPr>
        <w:t>2007</w:t>
      </w:r>
      <w:r w:rsidRPr="007E4C29">
        <w:rPr>
          <w:sz w:val="28"/>
          <w:szCs w:val="28"/>
        </w:rPr>
        <w:t>.</w:t>
      </w:r>
    </w:p>
    <w:p w:rsidR="002B273A" w:rsidRPr="007E4C29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>Международные правила толкования</w:t>
      </w:r>
      <w:r w:rsidR="00CA6EA3" w:rsidRPr="007E4C29">
        <w:rPr>
          <w:sz w:val="28"/>
          <w:szCs w:val="28"/>
        </w:rPr>
        <w:t xml:space="preserve"> </w:t>
      </w:r>
      <w:r w:rsidRPr="007E4C29">
        <w:rPr>
          <w:sz w:val="28"/>
          <w:szCs w:val="28"/>
        </w:rPr>
        <w:t xml:space="preserve">торговых терминов «Инкотермс». </w:t>
      </w:r>
      <w:r w:rsidR="00CA6EA3" w:rsidRPr="007E4C29">
        <w:rPr>
          <w:sz w:val="28"/>
          <w:szCs w:val="28"/>
        </w:rPr>
        <w:t>Новая редакция. — М., 2009</w:t>
      </w:r>
      <w:r w:rsidRPr="007E4C29">
        <w:rPr>
          <w:sz w:val="28"/>
          <w:szCs w:val="28"/>
        </w:rPr>
        <w:t>.</w:t>
      </w:r>
    </w:p>
    <w:p w:rsidR="002B273A" w:rsidRPr="007E4C29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 xml:space="preserve">Предприятие на внешних рынках: Внешнеторговое дело / Под ред. проф. С. И.Долгова, проф. И. И. Кретова. — М.: Издательство БЕК, </w:t>
      </w:r>
      <w:r w:rsidR="00CA6EA3" w:rsidRPr="007E4C29">
        <w:rPr>
          <w:sz w:val="28"/>
          <w:szCs w:val="28"/>
        </w:rPr>
        <w:t>200</w:t>
      </w:r>
      <w:r w:rsidRPr="007E4C29">
        <w:rPr>
          <w:sz w:val="28"/>
          <w:szCs w:val="28"/>
        </w:rPr>
        <w:t>7.</w:t>
      </w:r>
    </w:p>
    <w:p w:rsidR="002B273A" w:rsidRPr="005E5830" w:rsidRDefault="002B273A" w:rsidP="007E4C2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7E4C29">
        <w:rPr>
          <w:sz w:val="28"/>
          <w:szCs w:val="28"/>
        </w:rPr>
        <w:t xml:space="preserve">Розенберг М. Г. Контракт международной купли-продажи. Современная практика заключения. Разрешение споров. — М.: Международный центр финансово-экономического развития, </w:t>
      </w:r>
      <w:r w:rsidR="00CA6EA3" w:rsidRPr="007E4C29">
        <w:rPr>
          <w:sz w:val="28"/>
          <w:szCs w:val="28"/>
        </w:rPr>
        <w:t>2008</w:t>
      </w:r>
      <w:r w:rsidRPr="007E4C29">
        <w:rPr>
          <w:sz w:val="28"/>
          <w:szCs w:val="28"/>
        </w:rPr>
        <w:t>.</w:t>
      </w:r>
    </w:p>
    <w:p w:rsidR="007E4C29" w:rsidRPr="00D751B7" w:rsidRDefault="007E4C29" w:rsidP="007E4C29">
      <w:pPr>
        <w:widowControl/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E4C29" w:rsidRPr="00D751B7" w:rsidSect="007E4C29">
      <w:headerReference w:type="default" r:id="rId7"/>
      <w:pgSz w:w="11909" w:h="16834" w:code="9"/>
      <w:pgMar w:top="1134" w:right="851" w:bottom="1134" w:left="170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B7" w:rsidRDefault="00D751B7" w:rsidP="005E5830">
      <w:r>
        <w:separator/>
      </w:r>
    </w:p>
  </w:endnote>
  <w:endnote w:type="continuationSeparator" w:id="0">
    <w:p w:rsidR="00D751B7" w:rsidRDefault="00D751B7" w:rsidP="005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B7" w:rsidRDefault="00D751B7" w:rsidP="005E5830">
      <w:r>
        <w:separator/>
      </w:r>
    </w:p>
  </w:footnote>
  <w:footnote w:type="continuationSeparator" w:id="0">
    <w:p w:rsidR="00D751B7" w:rsidRDefault="00D751B7" w:rsidP="005E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30" w:rsidRPr="005E5830" w:rsidRDefault="005E5830" w:rsidP="005E5830">
    <w:pPr>
      <w:pStyle w:val="a4"/>
      <w:widowControl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802D8A"/>
    <w:lvl w:ilvl="0">
      <w:numFmt w:val="bullet"/>
      <w:lvlText w:val="*"/>
      <w:lvlJc w:val="left"/>
    </w:lvl>
  </w:abstractNum>
  <w:abstractNum w:abstractNumId="1">
    <w:nsid w:val="042B2517"/>
    <w:multiLevelType w:val="singleLevel"/>
    <w:tmpl w:val="2EA2529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8D464EB"/>
    <w:multiLevelType w:val="singleLevel"/>
    <w:tmpl w:val="9C4EC4B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0A79797E"/>
    <w:multiLevelType w:val="singleLevel"/>
    <w:tmpl w:val="379E0C94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3195917"/>
    <w:multiLevelType w:val="singleLevel"/>
    <w:tmpl w:val="2EA2529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156E5032"/>
    <w:multiLevelType w:val="singleLevel"/>
    <w:tmpl w:val="9B9C1BD4"/>
    <w:lvl w:ilvl="0">
      <w:start w:val="4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A630D97"/>
    <w:multiLevelType w:val="singleLevel"/>
    <w:tmpl w:val="FEDAAED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1E7D4E73"/>
    <w:multiLevelType w:val="singleLevel"/>
    <w:tmpl w:val="9C4EC4B0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8">
    <w:nsid w:val="26CF085A"/>
    <w:multiLevelType w:val="singleLevel"/>
    <w:tmpl w:val="630647B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9">
    <w:nsid w:val="36F04B69"/>
    <w:multiLevelType w:val="singleLevel"/>
    <w:tmpl w:val="6338B658"/>
    <w:lvl w:ilvl="0">
      <w:start w:val="5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0">
    <w:nsid w:val="5B8F3F21"/>
    <w:multiLevelType w:val="singleLevel"/>
    <w:tmpl w:val="2DAA2198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609B764D"/>
    <w:multiLevelType w:val="singleLevel"/>
    <w:tmpl w:val="97FC23E0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684D0F2D"/>
    <w:multiLevelType w:val="singleLevel"/>
    <w:tmpl w:val="9C4EC4B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694E2B24"/>
    <w:multiLevelType w:val="singleLevel"/>
    <w:tmpl w:val="992CCC5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72B00C2F"/>
    <w:multiLevelType w:val="singleLevel"/>
    <w:tmpl w:val="40289B3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82F7FEF"/>
    <w:multiLevelType w:val="singleLevel"/>
    <w:tmpl w:val="8B5E25AE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6">
    <w:nsid w:val="7A561849"/>
    <w:multiLevelType w:val="singleLevel"/>
    <w:tmpl w:val="630647B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7">
    <w:nsid w:val="7BFA79B4"/>
    <w:multiLevelType w:val="singleLevel"/>
    <w:tmpl w:val="79C84D6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7EFF4594"/>
    <w:multiLevelType w:val="singleLevel"/>
    <w:tmpl w:val="9C4EC4B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">
    <w:nsid w:val="7FBA4470"/>
    <w:multiLevelType w:val="singleLevel"/>
    <w:tmpl w:val="9C4EC4B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8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9"/>
  </w:num>
  <w:num w:numId="19">
    <w:abstractNumId w:val="9"/>
    <w:lvlOverride w:ilvl="0">
      <w:lvl w:ilvl="0">
        <w:start w:val="5"/>
        <w:numFmt w:val="decimal"/>
        <w:lvlText w:val="%1.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2">
    <w:abstractNumId w:val="3"/>
  </w:num>
  <w:num w:numId="23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5">
    <w:abstractNumId w:val="19"/>
  </w:num>
  <w:num w:numId="26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7">
    <w:abstractNumId w:val="5"/>
  </w:num>
  <w:num w:numId="28">
    <w:abstractNumId w:val="15"/>
  </w:num>
  <w:num w:numId="29">
    <w:abstractNumId w:val="2"/>
  </w:num>
  <w:num w:numId="30">
    <w:abstractNumId w:val="0"/>
    <w:lvlOverride w:ilvl="0">
      <w:lvl w:ilvl="0">
        <w:numFmt w:val="bullet"/>
        <w:lvlText w:val="•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B2A"/>
    <w:rsid w:val="00170B6E"/>
    <w:rsid w:val="00236B60"/>
    <w:rsid w:val="002B273A"/>
    <w:rsid w:val="0036349E"/>
    <w:rsid w:val="00471F51"/>
    <w:rsid w:val="00506F15"/>
    <w:rsid w:val="00537CA0"/>
    <w:rsid w:val="005A041E"/>
    <w:rsid w:val="005E5830"/>
    <w:rsid w:val="006B4C88"/>
    <w:rsid w:val="007E4C29"/>
    <w:rsid w:val="008B625A"/>
    <w:rsid w:val="00A340B2"/>
    <w:rsid w:val="00A44D65"/>
    <w:rsid w:val="00CA6EA3"/>
    <w:rsid w:val="00CC043E"/>
    <w:rsid w:val="00CE2138"/>
    <w:rsid w:val="00D751B7"/>
    <w:rsid w:val="00E44EEA"/>
    <w:rsid w:val="00E748B6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9557AD-026F-4A60-BBFD-35B181C6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C88"/>
    <w:rPr>
      <w:rFonts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583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5E5830"/>
    <w:rPr>
      <w:rFonts w:ascii="Times New Roman" w:hAnsi="Times New Roman" w:cs="Times New Roman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E583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5E5830"/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Irina</cp:lastModifiedBy>
  <cp:revision>2</cp:revision>
  <dcterms:created xsi:type="dcterms:W3CDTF">2014-09-12T15:40:00Z</dcterms:created>
  <dcterms:modified xsi:type="dcterms:W3CDTF">2014-09-12T15:40:00Z</dcterms:modified>
</cp:coreProperties>
</file>