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38" w:rsidRDefault="009C4338">
      <w:pPr>
        <w:pStyle w:val="1"/>
        <w:rPr>
          <w:rFonts w:ascii="Arial" w:hAnsi="Arial" w:cs="Arial"/>
        </w:rPr>
      </w:pPr>
      <w:bookmarkStart w:id="0" w:name="_Toc514312141"/>
      <w:bookmarkStart w:id="1" w:name="_Toc514309549"/>
      <w:r>
        <w:rPr>
          <w:rFonts w:ascii="Arial" w:hAnsi="Arial" w:cs="Arial"/>
        </w:rPr>
        <w:t>ПЛАН</w:t>
      </w:r>
      <w:bookmarkEnd w:id="0"/>
    </w:p>
    <w:p w:rsidR="009C4338" w:rsidRDefault="009C4338">
      <w:pPr>
        <w:pStyle w:val="11"/>
        <w:tabs>
          <w:tab w:val="right" w:leader="dot" w:pos="9345"/>
        </w:tabs>
        <w:rPr>
          <w:noProof/>
        </w:rPr>
      </w:pPr>
      <w:r>
        <w:rPr>
          <w:noProof/>
        </w:rPr>
        <w:t>Введение</w:t>
      </w:r>
      <w:r>
        <w:rPr>
          <w:noProof/>
        </w:rPr>
        <w:tab/>
        <w:t>3</w:t>
      </w:r>
    </w:p>
    <w:p w:rsidR="009C4338" w:rsidRDefault="009C4338">
      <w:pPr>
        <w:pStyle w:val="11"/>
        <w:tabs>
          <w:tab w:val="right" w:leader="dot" w:pos="9345"/>
        </w:tabs>
        <w:rPr>
          <w:noProof/>
        </w:rPr>
      </w:pPr>
      <w:r>
        <w:rPr>
          <w:noProof/>
        </w:rPr>
        <w:t>1. Соотношение норм права и религий</w:t>
      </w:r>
      <w:r>
        <w:rPr>
          <w:noProof/>
        </w:rPr>
        <w:tab/>
        <w:t>6</w:t>
      </w:r>
    </w:p>
    <w:p w:rsidR="009C4338" w:rsidRDefault="009C4338">
      <w:pPr>
        <w:pStyle w:val="11"/>
        <w:tabs>
          <w:tab w:val="right" w:leader="dot" w:pos="9345"/>
        </w:tabs>
        <w:rPr>
          <w:noProof/>
        </w:rPr>
      </w:pPr>
      <w:r>
        <w:rPr>
          <w:noProof/>
        </w:rPr>
        <w:t>2. Формы взаимодействия норм права и религии</w:t>
      </w:r>
      <w:r>
        <w:rPr>
          <w:noProof/>
        </w:rPr>
        <w:tab/>
        <w:t>13</w:t>
      </w:r>
    </w:p>
    <w:p w:rsidR="009C4338" w:rsidRDefault="009C4338">
      <w:pPr>
        <w:pStyle w:val="11"/>
        <w:tabs>
          <w:tab w:val="right" w:leader="dot" w:pos="9345"/>
        </w:tabs>
        <w:rPr>
          <w:noProof/>
        </w:rPr>
      </w:pPr>
      <w:r>
        <w:rPr>
          <w:noProof/>
        </w:rPr>
        <w:t>3. Право и религиозные нормы в РФ</w:t>
      </w:r>
      <w:r>
        <w:rPr>
          <w:noProof/>
        </w:rPr>
        <w:tab/>
        <w:t>19</w:t>
      </w:r>
    </w:p>
    <w:p w:rsidR="009C4338" w:rsidRDefault="009C4338">
      <w:pPr>
        <w:pStyle w:val="11"/>
        <w:tabs>
          <w:tab w:val="right" w:leader="dot" w:pos="9345"/>
        </w:tabs>
        <w:rPr>
          <w:noProof/>
        </w:rPr>
      </w:pPr>
      <w:r>
        <w:rPr>
          <w:noProof/>
        </w:rPr>
        <w:t>Заключение</w:t>
      </w:r>
      <w:r>
        <w:rPr>
          <w:noProof/>
        </w:rPr>
        <w:tab/>
        <w:t>22</w:t>
      </w:r>
    </w:p>
    <w:p w:rsidR="009C4338" w:rsidRDefault="009C4338">
      <w:pPr>
        <w:pStyle w:val="11"/>
        <w:tabs>
          <w:tab w:val="right" w:leader="dot" w:pos="9345"/>
        </w:tabs>
        <w:rPr>
          <w:noProof/>
        </w:rPr>
      </w:pPr>
      <w:r>
        <w:rPr>
          <w:noProof/>
        </w:rPr>
        <w:t>Список использованной литературы</w:t>
      </w:r>
      <w:r>
        <w:rPr>
          <w:noProof/>
        </w:rPr>
        <w:tab/>
        <w:t>25</w:t>
      </w:r>
    </w:p>
    <w:p w:rsidR="009C4338" w:rsidRDefault="009C4338"/>
    <w:p w:rsidR="009C4338" w:rsidRDefault="009C4338">
      <w:pPr>
        <w:pStyle w:val="1"/>
      </w:pPr>
      <w:r>
        <w:br w:type="page"/>
      </w:r>
      <w:bookmarkStart w:id="2" w:name="_Toc514312142"/>
      <w:bookmarkEnd w:id="1"/>
      <w:r>
        <w:t>Введение</w:t>
      </w:r>
      <w:bookmarkEnd w:id="2"/>
    </w:p>
    <w:p w:rsidR="009C4338" w:rsidRDefault="009C4338">
      <w:r>
        <w:t>Наличие взаимосвязи между религией и политикой очевидно. Религия никогда не сводилась лишь к вере в Бога и в потустороннюю жизнь, к совершению религиозных обрядов. Именно социальные учения позволяли монотеистическим религиям овладевать массами и тем самым влиять на расстановку сил в обществе. Религия по-своему объясняет реально существующий мир и регулирует не мнимые, а реальные отношения между людьми. Без религиозной интерпретации чисто земных отношений между людьми религия не смогла бы выполнять сложные социальные функции, в том числе и интегрирующую, потеряла бы свою привлекательность, перестала бы существовать. Сами причины возникновения новых религиозных движений, как правило, носили социально-политический характер. Такие движения появлялись в ответ на назревшие Потребности общественной жизни. Фактически каждая вновь возникшая религиозная секта X выступает как социально-политическая ячейка, а система ее воззрений – это новая социально-политическая доктрина, появляющаяся в религиозной форме. Такова в сущности история возникновения христианства, ислама, буддизма, других религий.</w:t>
      </w:r>
    </w:p>
    <w:p w:rsidR="009C4338" w:rsidRDefault="009C4338">
      <w:r>
        <w:t>Качественно новым этапом в усилении общественно-политической роли религии стало возникновение церкви – религиозной организации, выступающей в качестве средств упорядочения отношений внутри религиозного объединения и его связей со светскими общностями и организациями. Заметим, что церковь как организация характеризуется всеми основными атрибутами, присущими социальному институту. Ее элементами являются: общее вероучение (идеология), религиозная деятельность (культовая и внекультовая), церковная структура (система управления жизнью, деятельностью, поведением верующих). В церкви действует определенная система регулятивных норм и правил (религиозная мораль, кононическое право и др.).</w:t>
      </w:r>
    </w:p>
    <w:p w:rsidR="009C4338" w:rsidRDefault="009C4338">
      <w:r>
        <w:t>По мере развития церкви усиливались и ее политические функции. Постепенно власть церкви частично приобрела политический характер, так как она стала претендовать на роль высшего авторитета в укреплении не только семьи, но и общественной морали, в соблюдении норм и правил, в которых заинтересовано все общество. Церковь стала играть огромную роль и в укреплении авторитета государственной власти. Многие авторы, анализируя нынешнюю деятельность церкви, рассматривают ее как один из влиятельных компонентов политической системы общества. Осуществляя эту деятельность, церковь исходит из того, что людям нужны не только духовность и вера, но и религиозное обоснование их стремления к нормальному удовлетворению сугубо земных потребностей.</w:t>
      </w:r>
    </w:p>
    <w:p w:rsidR="009C4338" w:rsidRDefault="009C4338">
      <w:r>
        <w:t>Выполнение указанных общественных функций, как известно, невозможно без соответствующей идеологии. Поэтому в деятельности любой церкви, особенно это характерно для католицизма, значительное место отводится разработке ее социально-политической доктрины. При этом религиозные идеологи, опираясь на священные книги и учение отцов церкви, исходят из возможности торжества социальной справедливости и гармонии уже в этой, земной жизни. Социальное учение каждой церкви по-своему формулирует конечную “земную” цель для миллионов верующих, движение к которой становится смыслом их повседневной жизни. Тем самым обусловливается участие верующих во всех областях жизни светского общества, в том числе и в сфере политики.</w:t>
      </w:r>
    </w:p>
    <w:p w:rsidR="009C4338" w:rsidRDefault="009C4338"/>
    <w:p w:rsidR="009C4338" w:rsidRDefault="009C4338">
      <w:pPr>
        <w:pStyle w:val="1"/>
      </w:pPr>
      <w:r>
        <w:br w:type="page"/>
      </w:r>
      <w:bookmarkStart w:id="3" w:name="_Toc514312143"/>
      <w:r>
        <w:t>1. Соотношение норм права и религий</w:t>
      </w:r>
      <w:bookmarkEnd w:id="3"/>
    </w:p>
    <w:p w:rsidR="009C4338" w:rsidRDefault="009C4338">
      <w:r>
        <w:t>В гражданском обществе важное место отводится духовно-культурной жизни. Ее составной частью является религия. Она традиционно, на протяжении многовековой истории человечества объединяла людей, оказывала прямое или косвенное влияние на жизнь государства и воспитание молодого поколения.</w:t>
      </w:r>
    </w:p>
    <w:p w:rsidR="009C4338" w:rsidRDefault="009C4338">
      <w:r>
        <w:t>Как правило, в настоящее время основы взаимоотношений между церковью и государством в гражданском обществе регулируются нормами конституционного права, провозглашающими отделение церкви от государства. Это означает, что государственные органы и должностные лица не вмешиваются в сферу религиозных отношений, в том числе в деятельность религиозных объединений, и не поручают им выполнение государственных функций. Вместе с тем государство защищает законную деятельность религиозных объединений, занимая в вопросах свободы вероисповеданий и убеждений нейтральную позицию.</w:t>
      </w:r>
    </w:p>
    <w:p w:rsidR="009C4338" w:rsidRDefault="009C4338">
      <w:r>
        <w:t>Согласно, например, ст. 13 Конституции Греции, свобода совести ненарушима. Пользование личными и политическими свободами не зависит от религиозных верований. Всякая признаваемая религия свободна, и ее культовые обряды осуществляются беспрепятственно и под охраной закона. Они не могут посягать на публичный порядок и добрые нравы.</w:t>
      </w:r>
    </w:p>
    <w:p w:rsidR="009C4338" w:rsidRDefault="009C4338">
      <w:r>
        <w:t>В современном обществе существует и такой важный духовно-культурный институт, как религия. Ее влияние ощущается не только в духовной, но и в политической жизни общества. Свои религиозные потребности верующие удовлетворяют через церковь.</w:t>
      </w:r>
    </w:p>
    <w:p w:rsidR="009C4338" w:rsidRDefault="009C4338">
      <w:r>
        <w:t>Современное государство, как уже отмечалось, строит свои отношения с церковью, как правило, на основе провозглашения отделения церкви от государства. В то же время, провозглашая невмешательство в ее дела, оно гарантирует равенство всех религиозных конфессий, допускает возможность добровольного религиозного образования.</w:t>
      </w:r>
    </w:p>
    <w:p w:rsidR="009C4338" w:rsidRDefault="009C4338">
      <w:r>
        <w:t>Под свободой совести понимается право человека как верить в Бога в соответствии с учением той или иной свободно выбранной им религии, так и быть атеистом, т.е. не верить в Бога. Эта свобода особенно важна в государствах, в которых признана государственная религия и, следовательно, существует определенное давление на человека с целью заставить его принять эту религию. В государствах без государственной религии свобода служит защитой для атеистов, а в тоталитарных атеистических государствах ею прикрывались официальная антирелигиозная пропаганда и гонения на церковь.</w:t>
      </w:r>
    </w:p>
    <w:p w:rsidR="009C4338" w:rsidRDefault="009C4338">
      <w:r>
        <w:t>Свобода вероисповедания означает право человека на выбор религиозного учения и беспрепятственное отправление культов и обрядов в соответствии с этим учением. Эта свобода, таким образом, по своему содержанию уже первой. В субъективном смысле, т.е. как право человека, равнозначным является понятие свободы религии, но оно еще означает и право на существование всех религий и возможность каждой их них беспрепятственно проповедовать вероучение. Однако в обиходе очень часто все указанные термины употребляются как идентичные</w:t>
      </w:r>
      <w:r>
        <w:rPr>
          <w:rStyle w:val="af"/>
          <w:rFonts w:cs="Courier New"/>
        </w:rPr>
        <w:footnoteReference w:id="1"/>
      </w:r>
      <w:r>
        <w:t>.</w:t>
      </w:r>
    </w:p>
    <w:p w:rsidR="009C4338" w:rsidRDefault="009C4338">
      <w:r>
        <w:t>Международный пакт о гражданских и политических правах свободу совести и религии соединяет со свободой мысли, включая в нее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учений. Никто не должен подвергаться принуждению, умаляющему его свободу иметь или принимать религию или убеждения по своему выбору” (ст. 18).</w:t>
      </w:r>
    </w:p>
    <w:p w:rsidR="009C4338" w:rsidRDefault="009C4338">
      <w:r>
        <w:t>Конституция РФ провозглашает: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 28). Такая формулировка в значительной мере повторяет подходы, свойственные приведенной статье Международного пакта.</w:t>
      </w:r>
    </w:p>
    <w:p w:rsidR="009C4338" w:rsidRDefault="009C4338">
      <w:r>
        <w:t>Но в ней в завуалированном виде закрепляется право не только на атеистические убеждения, но и на атеистическую пропаганду (“распространять религиозные и иные убеждения”), что является явным отголоском прошлых лет. С содержательной точки зрения следует признать бесполезным упоминание о праве “не исповедовать никакой” религии, поскольку это заложено в содержании свободы совести. Следует помнить, что данная статья Конституции посвящена только правам человека в области религии, что же касается правового положения самих религиозных объединений, их равенства перед законом, то основанием этого служит ст. 14 Конституции.</w:t>
      </w:r>
    </w:p>
    <w:p w:rsidR="009C4338" w:rsidRDefault="009C4338">
      <w:r>
        <w:t>Свобода совести и вероисповедания подробно регламентируется Законом о свободе вероисповеданий от 25 октября 1990 г. Так, конкретизированы гарантии свободы вероисповедания, для чего, в частности, запрещено указывать в официальных документах отношение человека к религии. Хотя верующие обычно этого не стесняются, но принадлежность к религии может послужить в некоторых случаях поводом для их дискриминации со стороны отдельных бюрократов или грубых атеистов. Весьма важно признание тайны исповеди - ни при каких обстоятельствах от священнослужителя нельзя потребовать сведений, которые стали ему известны на исповеди.</w:t>
      </w:r>
    </w:p>
    <w:p w:rsidR="009C4338" w:rsidRDefault="009C4338">
      <w:r>
        <w:t>Ряд положений Закона посвящен проблемам религиозного воспитания. Так, право на свободу совести признано за ребенком, а родителям предоставлено право обеспечивать религиозное воспитание ребенка. Преподавание вероучений и религиозное воспитание могут свободно осуществляться в негосударственных учебных и воспитательных заведениях, а по желанию граждан - в любых дошкольных и учебных заведениях и организациях.</w:t>
      </w:r>
    </w:p>
    <w:p w:rsidR="009C4338" w:rsidRDefault="009C4338">
      <w:r>
        <w:t>Закон устранил дискриминацию религиозных объединений, признав правомерным распространение вероучений непосредственно или через средства массовой информации, миссионерскую деятельность, дела милосердия и благотворительности, религиозное обучение и воспитание, подвижническую деятельность (монастыри, скиты и пр.), паломничество и иную деятельность, определяемую соответствующими вероучениями и предусмотренную уставом данного объединения. Закреплены права в области совершения религиозных обрядов и церемоний, производства и распространения религиозной литературы и предметов религиозного назначения, международных связей и т.д.</w:t>
      </w:r>
    </w:p>
    <w:p w:rsidR="009C4338" w:rsidRDefault="009C4338">
      <w:r>
        <w:t>Определенные гарантии свободы совести и вероисповедания закреплены в Уголовном кодексе. Например, воспрепятствование осуществлению этой свободы, сопряженное с насилием над личностью и рядом других обстоятельств, наказывается лишением свободы на срок до трех лет или штрафом. Составом преступления признаны оскорбление чувств и убеждений верующих в публичной форме, разрушение и повреждение культовых зданий, памятников, захоронений, нанесение на них оскорбительных надписей и изображений (ст. 143 УК).</w:t>
      </w:r>
    </w:p>
    <w:p w:rsidR="009C4338" w:rsidRDefault="009C4338">
      <w:r>
        <w:t>В то же время УК преследует те религиозные объединения, деятельность которых сопряжена с причинением вреда здоровью граждан, с побуждением к отказу от исполнения гражданских обязанностей или к совершению противоправных действий. Речь идет о различных изуверских сектах и объединениях, все еще нелегально действующих в стране.</w:t>
      </w:r>
    </w:p>
    <w:p w:rsidR="009C4338" w:rsidRDefault="009C4338">
      <w:r>
        <w:t>Коренное изменение политики государства по отношению к религии, происшедшее в последние годы, возвращает России ее духовные силы. Возвращаются храмы, религиозные ценности, возрождаются религиозные учебные заведения. Тем самым создаются материальные условия для реализации гражданами одной из важнейших гражданских свобод - свободы вероисповедания.</w:t>
      </w:r>
    </w:p>
    <w:p w:rsidR="009C4338" w:rsidRDefault="009C4338">
      <w:r>
        <w:t>Распоряжением Президента Российской Федерации от 24 апреля 1995 г. создан Совет по взаимодействию с религиозными объединениями при Президенте Российской Федерации, а распоряжением от 2 августа 1995 г. утверждено Положение об этом Совете</w:t>
      </w:r>
      <w:r>
        <w:rPr>
          <w:rStyle w:val="af"/>
          <w:rFonts w:cs="Courier New"/>
        </w:rPr>
        <w:footnoteReference w:id="2"/>
      </w:r>
      <w:r>
        <w:t>. Совет является консультативным органом, осуществляющим предварительное рассмотрение вопросов и подготовку предложений для Президента. Он обеспечивает взаимодействие Президента с религиозными объединениями, участвует в разработке совместной концепции взаимоотношений государства и религиозных объединений. Специально оговаривается, что Совет не обладает контрольными или распорядительными функциями по отношению к религиозным объединениям. В состав Совета вошли представители всех ведущих конфессий России. Создание Совета отражает новый характер отношений между властью и религиозными объединениями, основанных на свободе последних и невмешательстве государства в их внутреннюю деятельность.</w:t>
      </w:r>
    </w:p>
    <w:p w:rsidR="009C4338" w:rsidRDefault="009C4338">
      <w:pPr>
        <w:pStyle w:val="1"/>
      </w:pPr>
      <w:r>
        <w:br w:type="page"/>
      </w:r>
      <w:bookmarkStart w:id="4" w:name="_Toc514312144"/>
      <w:r>
        <w:t>2. Формы взаимодействия</w:t>
      </w:r>
      <w:r>
        <w:br/>
        <w:t>норм права и религии</w:t>
      </w:r>
      <w:bookmarkEnd w:id="4"/>
    </w:p>
    <w:p w:rsidR="009C4338" w:rsidRDefault="009C4338">
      <w:r>
        <w:t>Результат, последствия выполнения религией ее функций, значимость ее действий, т. е. ее роль, бывали и бывают разными. Сформулируем некоторые принципы, реализация которых помогает анализировать роль религии объективно, конкретно-исторически, в определенных условиях места и времени.</w:t>
      </w:r>
    </w:p>
    <w:p w:rsidR="009C4338" w:rsidRDefault="009C4338">
      <w:r>
        <w:t>Роль религии нельзя считать исходной и определяющей, хотя она оказывает на экономические отношения и другие сферы общественной жизни обратное влияние. Она санкционирует определенные взгляды, деятельность, отношения, институты, придает им “ореол святости” или объявляет “нечестивыми”, “отпавшими”, “погрязшими во зле”, “греховными”, противоречащими “закону”, “Слову Божию”. Религиозный фактор влияет на экономику, политику, государство, межнациональные отношения, семью, на область культуры через деятельность верующих индивидов, групп, организаций в этих областях. Происходит “наложение” религиозных отношений на другие общественные отношения</w:t>
      </w:r>
      <w:r>
        <w:rPr>
          <w:rStyle w:val="af"/>
          <w:rFonts w:cs="Courier New"/>
        </w:rPr>
        <w:footnoteReference w:id="3"/>
      </w:r>
      <w:r>
        <w:t>.</w:t>
      </w:r>
    </w:p>
    <w:p w:rsidR="009C4338" w:rsidRDefault="009C4338">
      <w:r>
        <w:t>Степень влияния религии связана с ее местом в обществе, а это место не является раз и навсегда данным, оно изменяется в контексте процессов сакрализации (лат. sacer – священный) и секуляризации (позднелат. saecularis – мирской, светский)</w:t>
      </w:r>
      <w:r>
        <w:rPr>
          <w:rStyle w:val="af"/>
          <w:rFonts w:cs="Courier New"/>
        </w:rPr>
        <w:footnoteReference w:id="4"/>
      </w:r>
      <w:r>
        <w:t>. Сакрализация означает вовлечение в сферу религиозного санкционирования форм общественного и индивидуального сознания, деятельности, отношений, поведения людей, институтов, рост влияния религии на различные сферы общественной и частной жизни. Секуляризация, напротив, ведет к ослаблению влияния религии на общественное и индивидуальное сознание, к ограничению возможности религиозного санкционирования различных видов деятельности, поведения, отношений и институтов, “вхождения” религиозных индивидов и организаций в различные вне-религиозные сферы жизни. Указанные процессы неоднолинейны, противоречивы, неравномерны в обществах разных типов, на сменяющих друг друга этапах их развития, в странах и регионах Европы, Азии, Африки, Америки, в меняющихся социально-политических и культурных ситуациях.</w:t>
      </w:r>
    </w:p>
    <w:p w:rsidR="009C4338" w:rsidRDefault="009C4338">
      <w:r>
        <w:t>Своеобразно воздействие религии на общество, его подсистемы, на индивида и личность родоплеменных, народностно-национальных, региональных, мировых религий, а также отдельных религиозных направлений и конфессий.В их вероучении, культе, организации, этике имеются специфические черты, которые находят выражение в правилах отношения к миру, в повседневном поведении последователей в различных областях общественной и личной жизни, накладывают печать на “человека экономического”, “человека политического”, “человека морального”, “человека художественного”. Неодинаковой была система мотивации, а потому и направленность и эффективность хозяйственной деятельности в иудаизме, христианстве, исламе, католицизме, кальвинизме, православии, старообрядчестве и других религиозных направлениях. По-разному включались в межэтнические, межнациональные отношения родоплеменные, народностно-национальные (индуизм, конфуцианство, сикхизм и др.), мировые религии (буддизм, христианство, ислам), их направления и конфессии. Имеются заметные отличия в морали, в нравственных отношениях буддиста, христианина, мусульманина, синтоиста, даосиста, последователя родоплеменной религии. По-своему развивалось искусство, его виды и жанры, художественные образы в соприкосновении с теми или иными религиями</w:t>
      </w:r>
      <w:r>
        <w:rPr>
          <w:rStyle w:val="af"/>
          <w:rFonts w:cs="Courier New"/>
        </w:rPr>
        <w:footnoteReference w:id="5"/>
      </w:r>
      <w:r>
        <w:t>.</w:t>
      </w:r>
    </w:p>
    <w:p w:rsidR="009C4338" w:rsidRDefault="009C4338">
      <w:r>
        <w:t>Как уже было сказано, религия представляет собой системное образование, включающее ряд элементов и связей: сознание со своими чертами и уровнями, внекультовые и культовые деятельность и отношения, учреждения для ориентации во внерелигиозных и в религиозной областях. Функционирование названных элементов и связей давало соответствующие им, их содержанию и направленности результаты. Достоверные знания позволяли строить эффективную программу действий, повышали творческий потенциал культуры, а заблуждения не способствовали преобразованию природы, общества и человека в соответствии с объективными закономерностями развития, приводили к неблагоприятным последствиям. Деятельность, отношения, учреждения консолидировали людей, но могли и разъединять, вести к появлению и разрастанию конфликтов. По линии религиозной деятельности и отношений, обеспечения нужд религиозных организаций шло и идет создание и накопление материальной и духовной культуры – освоение необжитых земель, совершенствование земледелия, животноводства, ремесел, развитие храмостроительства, письменности, книгопечатания, сети школ, грамотности, различных видов искусства. Но, с другой стороны, определенные слои культуры отторгались, отталкивались – многие компоненты языческой культуры, скоморошество, смеховая культура, портретная живопись в исламе, духовные образования, попавшие в свое время в Индекс запрещенных книг католицизма, ряд научных открытий, свободомыслие. Следует, конечно, учитывать и то, что позиции и практика религиозных организаций по многим вопросам развития культуры исторически меняются.</w:t>
      </w:r>
    </w:p>
    <w:p w:rsidR="009C4338" w:rsidRDefault="009C4338">
      <w:r>
        <w:t>Важно принять во внимание соотношение общечеловеческого и частного в религии. Ныне широко распространено мнение о тождестве религиозного и общечеловеческого. Представляется, что это мнение не учитывает ряда фактов. В религиозных системах отражаются, во-первых, такие отношения, которые общи всем обществам независимо от их типа; во-вторых, отношения, свойственные данному типу общества; в-третьих, связи, складывающиеся в синкретических обществах; в-четвертых, условия бытия разных этносов, классов, сословий, иных групп. В религиях представлены и самые различные культуры. Даже мировых религий – три, не говоря уже о множестве народностно-национальных, региональных и родоплеменных. В религиях переплетаются, порой причудливо, компоненты общечеловеческие, формационные, классовые, этнические, партикулярные, глобальные и локальные. В конкретных ситуациях могут актуализироваться, выступать на передний план те или другие; религиозные лидеры, группы, мыслители могут далеко не одинаково выражать указанные тенденции. Все это находит выражение и в социально-политических ориентациях – история показывает, что в религиозных организациях были и есть разные позиции: прогрессивная, консервативная, регрессивная. Причем какая-то конкретная группа и ее представители не всегда жестко “закреплены” за какой-то из них, могут менять ориентацию, переходить от одной к другой. В современных условиях значимость деятельности любых институтов, групп, партий, лидеров, в том числе и религиозных, определяется прежде всего тем, в какой мере она служит утверждению гуманистических ценностей.</w:t>
      </w:r>
    </w:p>
    <w:p w:rsidR="009C4338" w:rsidRDefault="009C4338"/>
    <w:p w:rsidR="009C4338" w:rsidRDefault="009C4338">
      <w:pPr>
        <w:pStyle w:val="1"/>
      </w:pPr>
      <w:r>
        <w:br w:type="page"/>
      </w:r>
      <w:bookmarkStart w:id="5" w:name="_Toc514312145"/>
      <w:r>
        <w:t>3. Право и религиозные нормы в РФ</w:t>
      </w:r>
      <w:bookmarkEnd w:id="5"/>
    </w:p>
    <w:p w:rsidR="009C4338" w:rsidRDefault="009C4338">
      <w:r>
        <w:t>Религиозными нормами называются правила, установленные различными вероисповеданиями и обязательные для верующих. Они содержатся в религиозных книгах (Ветхий завет, Новый завет, Коран, Сунна, Талмуд, религиозные книги буддистов и др.), в решениях собраний верующих или духовенства (постановления соборов, коллегий, конференций), в произведениях авторитетных религиозных писателей. Этими нормами определяется порядок организации и деятельности религиозных объединений (общин, церквей, групп верующих и т.п.), регламентируются отправление обрядов, порядок церковной службы. Ряд религиозных норм имеет моральное содержание (заповеди)</w:t>
      </w:r>
      <w:r>
        <w:rPr>
          <w:rStyle w:val="af"/>
          <w:rFonts w:cs="Courier New"/>
        </w:rPr>
        <w:footnoteReference w:id="6"/>
      </w:r>
      <w:r>
        <w:t>.</w:t>
      </w:r>
    </w:p>
    <w:p w:rsidR="009C4338" w:rsidRDefault="009C4338">
      <w:r>
        <w:t>В истории права были целые эпохи, когда многие религиозные нормы носили юридический характер, регулировали некоторые политические, государственные, гражданско-правовые, процессуальные, брачно-семейные и иные отношения. В ряде современных исламских стран Коран (“арабский судебник”) и Сунна – основа религиозных, правовых и моральных норм, регулирующих все стороны жизни мусульманина, определяющих “правильный путь к цели” (шариат).</w:t>
      </w:r>
    </w:p>
    <w:p w:rsidR="009C4338" w:rsidRDefault="009C4338">
      <w:r>
        <w:t>В нашей стране до Октябрьского (1917 г.) вооруженного восстания ряд брачно-семейных и некоторых иных норм, признаваемых и установленных православной церковью (“каноническое право”), был составной частью правовой системы. После отделения церкви от государства эти нормы утратили юридический характер.</w:t>
      </w:r>
    </w:p>
    <w:p w:rsidR="009C4338" w:rsidRDefault="009C4338">
      <w:r>
        <w:t>В первые годы советской власти допускалось применение норм мусульманского права (шариат) в некоторых районах Средней Азии и Кавказа.</w:t>
      </w:r>
    </w:p>
    <w:p w:rsidR="009C4338" w:rsidRDefault="009C4338">
      <w:r>
        <w:t>В настоящее время нормы, установленные религиозными организациями, соприкасаются с действующим правом в ряде отношений. Конституция создает правовую основу деятельности религиозных организаций, гарантируя каждому свободу совести, включая право свободно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9C4338" w:rsidRDefault="009C4338">
      <w:r>
        <w:t>Религиозным объединениям может предоставляться статус юридического лица. Они вправе иметь храмы, молитвенные дома, учебные заведения, культовое и другое имущество, необходимое для религиозных целей. Нормы, содержащиеся в уставах соответствующих юридических лиц, определяющие их правоспособность и дееспособность, имеют юридический характер.</w:t>
      </w:r>
    </w:p>
    <w:p w:rsidR="009C4338" w:rsidRDefault="009C4338">
      <w:r>
        <w:t>Гражданину Российской Федерации предоставлено право заменять военную службу выполнением альтернативной гражданской службы, если несение военной службы противоречит его убеждениям или вероисповеданию.</w:t>
      </w:r>
    </w:p>
    <w:p w:rsidR="009C4338" w:rsidRDefault="009C4338">
      <w:r>
        <w:t>Верующие имеют возможность беспрепятственно совершать религиозные обряды, связанные с вступлением в брак, рождением ребенка, его совершеннолетием, с похоронами близких, и другие, однако юридическое значение в связи с этими событиями имеют лишь документы, полученные в органах записи актов гражданского состояния либо других государственных органах, правомочных выдавать такие документы.</w:t>
      </w:r>
    </w:p>
    <w:p w:rsidR="009C4338" w:rsidRDefault="009C4338">
      <w:r>
        <w:t>Некоторые религиозные праздники официально признаны государством с учетом исторических традиций. Однако сложность заключается в том, что в светском государстве, где много религий, отмечающих разные праздничные дни и даты, практически невозможно официально обозначить общие для всех верующих и неверующих религиозные праздничные дни.</w:t>
      </w:r>
    </w:p>
    <w:p w:rsidR="009C4338" w:rsidRDefault="009C4338">
      <w:pPr>
        <w:pStyle w:val="1"/>
      </w:pPr>
      <w:r>
        <w:br w:type="page"/>
      </w:r>
      <w:bookmarkStart w:id="6" w:name="_Toc514312146"/>
      <w:r>
        <w:t>Заключение</w:t>
      </w:r>
      <w:bookmarkEnd w:id="6"/>
    </w:p>
    <w:p w:rsidR="009C4338" w:rsidRDefault="009C4338">
      <w:r>
        <w:t>Взаимоотношения между церковью и государством во многом определяются уровнем социально-экономического развития страны, историческими традициями, сложившимися в обществе. Возможно несколько моделей таких взаимоотношений.</w:t>
      </w:r>
    </w:p>
    <w:p w:rsidR="009C4338" w:rsidRDefault="009C4338">
      <w:r>
        <w:t>В условиях демократического государства обычно признаются на конституционном уровне и в повседневной практике равноправие всех религий и церквей, свобода совести и вероисповедания. При этих условиях церковь отделена от государства, а школа – от церкви, запрещена дискриминация на религиозной почве, отсутствуют привилегии, связанные с исповеданием той или иной религии, церковь является хранителем культурных, исторических и нравственных традиций народа.</w:t>
      </w:r>
    </w:p>
    <w:p w:rsidR="009C4338" w:rsidRDefault="009C4338">
      <w:r>
        <w:t>При тоталитарных и авторитарных режимах можно выделить три основных модели отношений церкви и государства:</w:t>
      </w:r>
    </w:p>
    <w:p w:rsidR="009C4338" w:rsidRDefault="009C4338">
      <w:r>
        <w:t>а) государство преследует по религиозным основаниям верующих, как это было до 1967 г. в Албании, и запрещает любые формы религиозных проявлений;</w:t>
      </w:r>
    </w:p>
    <w:p w:rsidR="009C4338" w:rsidRDefault="009C4338">
      <w:r>
        <w:t>б) государство признает религию и церковь в качестве основы государственной власти (Саудовская Аравия, Пакистан, Иран). Ислам в этих странах признан государственной религией, а нормы шариата используются для регулирования различных сторон общественной жизни;</w:t>
      </w:r>
    </w:p>
    <w:p w:rsidR="009C4338" w:rsidRDefault="009C4338">
      <w:r>
        <w:t>в) церковь находится в прямой конфронтации с государством, проводит антигосударственную кампанию, основанную на религиозных нормах. Подобная ситуация возникла в Латинской Америке в середине 60-х гг.</w:t>
      </w:r>
    </w:p>
    <w:p w:rsidR="009C4338" w:rsidRDefault="009C4338">
      <w:r>
        <w:t>Статус религиозных объединений регулируется конституционным и текущим законодательством. Большинство конституций фиксирует отделение церкви от государства, признает религию исключительно частным делом человека.</w:t>
      </w:r>
    </w:p>
    <w:p w:rsidR="009C4338" w:rsidRDefault="009C4338">
      <w:r>
        <w:t>Вместе с тем в отдельных странах, например, в Греции, Болгарии, Великобритании, отмечается особое положение религии и церкви. Англиканскую церковь в Англии и пресвитерианскую – в Шотландии возглавляет британский монарх, который назначает на высшие церковные должности и оказывает влияние на церковную политику.</w:t>
      </w:r>
    </w:p>
    <w:p w:rsidR="009C4338" w:rsidRDefault="009C4338">
      <w:r>
        <w:t>Во Франции, согласно специальному закону об отделении церкви от государства, последнее не признает и не субсидирует никакую церковь, не оплачивает ее служителей. В местах, предназначенных для религиозных служб, запрещается проведение политических собраний.</w:t>
      </w:r>
    </w:p>
    <w:p w:rsidR="009C4338" w:rsidRDefault="009C4338">
      <w:r>
        <w:t>Возможно существование договорных отношений между государством и церковью, о чем говорит пример Италии. В этой стране отношения между государством и церковью основываются на норме конституции и специальном соглашении. В ст. 7 Конституции этой страны признается независимость и суверенность государства и церкви, каждого в своей сфере, а их отношения регулируются Латеранскими соглашениями 1929 г.</w:t>
      </w:r>
    </w:p>
    <w:p w:rsidR="009C4338" w:rsidRDefault="009C4338">
      <w:r>
        <w:t>Однако в ряде государств существует практика финансовой поддержки церкви из государственного бюджета, а на религиозные объединения распространяется статус общественных объединений.</w:t>
      </w:r>
    </w:p>
    <w:p w:rsidR="009C4338" w:rsidRDefault="009C4338"/>
    <w:p w:rsidR="009C4338" w:rsidRDefault="009C4338">
      <w:pPr>
        <w:pStyle w:val="1"/>
      </w:pPr>
      <w:r>
        <w:br w:type="page"/>
      </w:r>
      <w:bookmarkStart w:id="7" w:name="_Toc514312147"/>
      <w:r>
        <w:t>Список использованной литературы</w:t>
      </w:r>
      <w:bookmarkEnd w:id="7"/>
    </w:p>
    <w:p w:rsidR="009C4338" w:rsidRDefault="009C4338">
      <w:pPr>
        <w:numPr>
          <w:ilvl w:val="0"/>
          <w:numId w:val="1"/>
        </w:numPr>
        <w:tabs>
          <w:tab w:val="clear" w:pos="360"/>
          <w:tab w:val="num" w:pos="1080"/>
        </w:tabs>
        <w:ind w:left="1080"/>
      </w:pPr>
      <w:r>
        <w:t>Авакьян С.А. Политический плюрализм и общественные объединения в Российской Федерации: конституционно-правовые основы. М., 1996.</w:t>
      </w:r>
    </w:p>
    <w:p w:rsidR="009C4338" w:rsidRDefault="009C4338">
      <w:pPr>
        <w:numPr>
          <w:ilvl w:val="0"/>
          <w:numId w:val="1"/>
        </w:numPr>
        <w:tabs>
          <w:tab w:val="clear" w:pos="360"/>
          <w:tab w:val="num" w:pos="1080"/>
        </w:tabs>
        <w:ind w:left="1080"/>
      </w:pPr>
      <w:r>
        <w:t>Бочарова С.Н. Роль общественных объединений в защите прав человека // Вестник Московского университета. Сер. Право. 1997. № 1. С. 98--106.</w:t>
      </w:r>
    </w:p>
    <w:p w:rsidR="009C4338" w:rsidRDefault="009C4338">
      <w:pPr>
        <w:numPr>
          <w:ilvl w:val="0"/>
          <w:numId w:val="1"/>
        </w:numPr>
        <w:tabs>
          <w:tab w:val="clear" w:pos="360"/>
          <w:tab w:val="num" w:pos="1080"/>
        </w:tabs>
        <w:ind w:left="1080"/>
      </w:pPr>
      <w:r>
        <w:t>Гражданское общество и правовое государство: предпосылки формирования // Сборник статей. М., 1991.</w:t>
      </w:r>
    </w:p>
    <w:p w:rsidR="009C4338" w:rsidRDefault="009C4338">
      <w:pPr>
        <w:numPr>
          <w:ilvl w:val="0"/>
          <w:numId w:val="1"/>
        </w:numPr>
        <w:tabs>
          <w:tab w:val="clear" w:pos="360"/>
          <w:tab w:val="num" w:pos="1080"/>
        </w:tabs>
        <w:ind w:left="1080"/>
      </w:pPr>
      <w:r>
        <w:t>Зарубежное законодательство о политических партиях // Сборник нормативных актов. М.,1993.</w:t>
      </w:r>
    </w:p>
    <w:p w:rsidR="009C4338" w:rsidRDefault="009C4338">
      <w:pPr>
        <w:numPr>
          <w:ilvl w:val="0"/>
          <w:numId w:val="1"/>
        </w:numPr>
        <w:tabs>
          <w:tab w:val="clear" w:pos="360"/>
          <w:tab w:val="num" w:pos="1080"/>
        </w:tabs>
        <w:ind w:left="1080"/>
      </w:pPr>
      <w:r>
        <w:t xml:space="preserve">Кочетков А.П. Гражданское общество: проблемы исследования и перспективы развития // Вестник Московского университета. Сер. 12. Политические науки. 1998. №4. С. 85-88. </w:t>
      </w:r>
    </w:p>
    <w:p w:rsidR="009C4338" w:rsidRDefault="009C4338">
      <w:pPr>
        <w:numPr>
          <w:ilvl w:val="0"/>
          <w:numId w:val="1"/>
        </w:numPr>
        <w:tabs>
          <w:tab w:val="clear" w:pos="360"/>
          <w:tab w:val="num" w:pos="1080"/>
        </w:tabs>
        <w:ind w:left="1080"/>
      </w:pPr>
      <w:r>
        <w:t>Леванский В.А., Любутов А.С. Политический спектр Российской Федерации: структурно-таксономический анализ (партии, фракции, выборы в 1993-1996 гг.) // Государство и право. 1997. № 9. С. 87-94.</w:t>
      </w:r>
    </w:p>
    <w:p w:rsidR="009C4338" w:rsidRDefault="009C4338">
      <w:pPr>
        <w:numPr>
          <w:ilvl w:val="0"/>
          <w:numId w:val="1"/>
        </w:numPr>
        <w:tabs>
          <w:tab w:val="clear" w:pos="360"/>
          <w:tab w:val="num" w:pos="1080"/>
        </w:tabs>
        <w:ind w:left="1080"/>
      </w:pPr>
      <w:r>
        <w:t xml:space="preserve">Левин И.Б. Гражданское общество на Западе и в России // Полис. 1996. № 5. С. 107-120. </w:t>
      </w:r>
    </w:p>
    <w:p w:rsidR="009C4338" w:rsidRDefault="009C4338">
      <w:pPr>
        <w:numPr>
          <w:ilvl w:val="0"/>
          <w:numId w:val="1"/>
        </w:numPr>
        <w:tabs>
          <w:tab w:val="clear" w:pos="360"/>
          <w:tab w:val="num" w:pos="1080"/>
        </w:tabs>
        <w:ind w:left="1080"/>
      </w:pPr>
      <w:r>
        <w:t>Ориу М. Основы публичного права. М., 1929. С. 361-414.</w:t>
      </w:r>
    </w:p>
    <w:p w:rsidR="009C4338" w:rsidRDefault="009C4338">
      <w:bookmarkStart w:id="8" w:name="_GoBack"/>
      <w:bookmarkEnd w:id="8"/>
    </w:p>
    <w:sectPr w:rsidR="009C4338">
      <w:headerReference w:type="default" r:id="rId7"/>
      <w:footerReference w:type="default" r:id="rId8"/>
      <w:pgSz w:w="11906" w:h="16838" w:code="9"/>
      <w:pgMar w:top="1418" w:right="1134" w:bottom="1418" w:left="1985" w:header="454" w:footer="454" w:gutter="0"/>
      <w:paperSrc w:first="1" w:other="1"/>
      <w:pgNumType w:start="2"/>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338" w:rsidRDefault="009C4338">
      <w:pPr>
        <w:spacing w:line="240" w:lineRule="auto"/>
      </w:pPr>
      <w:r>
        <w:separator/>
      </w:r>
    </w:p>
  </w:endnote>
  <w:endnote w:type="continuationSeparator" w:id="0">
    <w:p w:rsidR="009C4338" w:rsidRDefault="009C4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338" w:rsidRDefault="00F17007">
    <w:pPr>
      <w:pStyle w:val="a7"/>
      <w:framePr w:wrap="auto" w:vAnchor="text" w:hAnchor="margin" w:xAlign="center" w:y="1"/>
      <w:rPr>
        <w:rStyle w:val="a4"/>
        <w:rFonts w:cs="Courier New"/>
        <w:sz w:val="20"/>
        <w:szCs w:val="20"/>
      </w:rPr>
    </w:pPr>
    <w:r>
      <w:rPr>
        <w:rStyle w:val="a4"/>
        <w:rFonts w:cs="Courier New"/>
        <w:sz w:val="20"/>
        <w:szCs w:val="20"/>
      </w:rPr>
      <w:t>2</w:t>
    </w:r>
  </w:p>
  <w:p w:rsidR="009C4338" w:rsidRDefault="009C4338">
    <w:pPr>
      <w:pStyle w:val="a7"/>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338" w:rsidRDefault="009C4338">
      <w:pPr>
        <w:spacing w:line="240" w:lineRule="auto"/>
      </w:pPr>
      <w:r>
        <w:separator/>
      </w:r>
    </w:p>
  </w:footnote>
  <w:footnote w:type="continuationSeparator" w:id="0">
    <w:p w:rsidR="009C4338" w:rsidRDefault="009C4338">
      <w:pPr>
        <w:spacing w:line="240" w:lineRule="auto"/>
      </w:pPr>
      <w:r>
        <w:continuationSeparator/>
      </w:r>
    </w:p>
  </w:footnote>
  <w:footnote w:id="1">
    <w:p w:rsidR="009C4338" w:rsidRDefault="009C4338">
      <w:pPr>
        <w:pStyle w:val="a5"/>
      </w:pPr>
      <w:r>
        <w:rPr>
          <w:rStyle w:val="af"/>
          <w:rFonts w:cs="Courier New"/>
        </w:rPr>
        <w:footnoteRef/>
      </w:r>
      <w:r>
        <w:t xml:space="preserve"> Ориу М. Основы публичного права. М., 1929. С. 361.</w:t>
      </w:r>
    </w:p>
  </w:footnote>
  <w:footnote w:id="2">
    <w:p w:rsidR="009C4338" w:rsidRDefault="009C4338">
      <w:pPr>
        <w:pStyle w:val="a5"/>
      </w:pPr>
      <w:r>
        <w:rPr>
          <w:rStyle w:val="af"/>
          <w:rFonts w:cs="Courier New"/>
        </w:rPr>
        <w:footnoteRef/>
      </w:r>
      <w:r>
        <w:t xml:space="preserve"> Бочарова С.Н. Роль общественных объединений в защите прав человека // Вестник Московского университета. Сер. Право. 1997. № 1. С. 98.</w:t>
      </w:r>
    </w:p>
  </w:footnote>
  <w:footnote w:id="3">
    <w:p w:rsidR="009C4338" w:rsidRDefault="009C4338">
      <w:pPr>
        <w:pStyle w:val="a5"/>
      </w:pPr>
      <w:r>
        <w:rPr>
          <w:rStyle w:val="af"/>
          <w:rFonts w:cs="Courier New"/>
        </w:rPr>
        <w:footnoteRef/>
      </w:r>
      <w:r>
        <w:t xml:space="preserve"> Авакьян С.А. Политический плюрализм и общественные объединения в Российской Федерации: конституционно-правовые основы. М., 1996.</w:t>
      </w:r>
    </w:p>
  </w:footnote>
  <w:footnote w:id="4">
    <w:p w:rsidR="009C4338" w:rsidRDefault="009C4338">
      <w:pPr>
        <w:pStyle w:val="a5"/>
      </w:pPr>
      <w:r>
        <w:rPr>
          <w:rStyle w:val="af"/>
          <w:rFonts w:cs="Courier New"/>
        </w:rPr>
        <w:footnoteRef/>
      </w:r>
      <w:r>
        <w:t xml:space="preserve"> Ориу М. Основы публичного права. М., 1929. С. 411.</w:t>
      </w:r>
    </w:p>
  </w:footnote>
  <w:footnote w:id="5">
    <w:p w:rsidR="009C4338" w:rsidRDefault="009C4338">
      <w:pPr>
        <w:pStyle w:val="a5"/>
      </w:pPr>
      <w:r>
        <w:rPr>
          <w:rStyle w:val="af"/>
          <w:rFonts w:cs="Courier New"/>
        </w:rPr>
        <w:footnoteRef/>
      </w:r>
      <w:r>
        <w:t xml:space="preserve"> </w:t>
      </w:r>
    </w:p>
  </w:footnote>
  <w:footnote w:id="6">
    <w:p w:rsidR="009C4338" w:rsidRDefault="009C4338">
      <w:pPr>
        <w:pStyle w:val="a5"/>
      </w:pPr>
      <w:r>
        <w:rPr>
          <w:rStyle w:val="af"/>
          <w:rFonts w:cs="Courier New"/>
        </w:rPr>
        <w:footnoteRef/>
      </w:r>
      <w:r>
        <w:t xml:space="preserve"> Бочарова С.Н. Роль общественных объединений в защите прав человека // Вестник Московского университета. Сер. Право. 1997. № 1. С.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338" w:rsidRDefault="009C4338">
    <w:pPr>
      <w:pStyle w:val="ad"/>
      <w:ind w:firstLine="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D583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007"/>
    <w:rsid w:val="000300B4"/>
    <w:rsid w:val="000A6DBB"/>
    <w:rsid w:val="009C4338"/>
    <w:rsid w:val="00F1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6A5B09-90F8-422A-A6FE-85F748BC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720"/>
      <w:jc w:val="both"/>
    </w:pPr>
    <w:rPr>
      <w:rFonts w:ascii="Courier New" w:hAnsi="Courier New" w:cs="Courier New"/>
      <w:spacing w:val="20"/>
      <w:sz w:val="28"/>
      <w:szCs w:val="28"/>
    </w:rPr>
  </w:style>
  <w:style w:type="paragraph" w:styleId="1">
    <w:name w:val="heading 1"/>
    <w:basedOn w:val="a"/>
    <w:next w:val="a"/>
    <w:link w:val="10"/>
    <w:uiPriority w:val="99"/>
    <w:qFormat/>
    <w:pPr>
      <w:keepNext/>
      <w:keepLines/>
      <w:spacing w:after="567" w:line="240" w:lineRule="auto"/>
      <w:ind w:firstLine="0"/>
      <w:jc w:val="center"/>
      <w:outlineLvl w:val="0"/>
    </w:pPr>
    <w:rPr>
      <w:rFonts w:ascii="Tahoma" w:hAnsi="Tahoma" w:cs="Tahoma"/>
      <w:b/>
      <w:bCs/>
      <w:caps/>
      <w:kern w:val="28"/>
      <w:sz w:val="32"/>
      <w:szCs w:val="32"/>
    </w:rPr>
  </w:style>
  <w:style w:type="paragraph" w:styleId="2">
    <w:name w:val="heading 2"/>
    <w:basedOn w:val="a"/>
    <w:next w:val="a"/>
    <w:link w:val="20"/>
    <w:uiPriority w:val="99"/>
    <w:qFormat/>
    <w:pPr>
      <w:keepNext/>
      <w:spacing w:after="400" w:line="240" w:lineRule="auto"/>
      <w:ind w:left="709" w:firstLine="0"/>
      <w:jc w:val="left"/>
      <w:outlineLvl w:val="1"/>
    </w:pPr>
    <w:rPr>
      <w:b/>
      <w:bCs/>
      <w:i/>
      <w:iCs/>
    </w:rPr>
  </w:style>
  <w:style w:type="paragraph" w:styleId="3">
    <w:name w:val="heading 3"/>
    <w:basedOn w:val="a"/>
    <w:next w:val="a"/>
    <w:link w:val="30"/>
    <w:uiPriority w:val="99"/>
    <w:qFormat/>
    <w:pPr>
      <w:keepNext/>
      <w:spacing w:before="60" w:after="60"/>
      <w:ind w:left="1134" w:firstLine="0"/>
      <w:jc w:val="left"/>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sz w:val="28"/>
      <w:szCs w:val="28"/>
    </w:rPr>
  </w:style>
  <w:style w:type="character" w:customStyle="1" w:styleId="30">
    <w:name w:val="Заголовок 3 Знак"/>
    <w:link w:val="3"/>
    <w:uiPriority w:val="9"/>
    <w:semiHidden/>
    <w:rPr>
      <w:rFonts w:ascii="Cambria" w:eastAsia="Times New Roman" w:hAnsi="Cambria" w:cs="Times New Roman"/>
      <w:b/>
      <w:bCs/>
      <w:spacing w:val="20"/>
      <w:sz w:val="26"/>
      <w:szCs w:val="26"/>
    </w:rPr>
  </w:style>
  <w:style w:type="paragraph" w:customStyle="1" w:styleId="a3">
    <w:name w:val="Таблица"/>
    <w:basedOn w:val="a"/>
    <w:next w:val="a"/>
    <w:uiPriority w:val="99"/>
    <w:pPr>
      <w:widowControl w:val="0"/>
      <w:spacing w:line="240" w:lineRule="auto"/>
      <w:ind w:firstLine="0"/>
      <w:jc w:val="left"/>
    </w:pPr>
  </w:style>
  <w:style w:type="paragraph" w:styleId="11">
    <w:name w:val="toc 1"/>
    <w:basedOn w:val="a"/>
    <w:next w:val="a"/>
    <w:autoRedefine/>
    <w:uiPriority w:val="99"/>
    <w:pPr>
      <w:keepNext/>
      <w:ind w:right="851" w:firstLine="0"/>
      <w:jc w:val="left"/>
    </w:pPr>
    <w:rPr>
      <w:rFonts w:ascii="Arial" w:hAnsi="Arial" w:cs="Arial"/>
    </w:rPr>
  </w:style>
  <w:style w:type="paragraph" w:styleId="21">
    <w:name w:val="toc 2"/>
    <w:basedOn w:val="a"/>
    <w:next w:val="a"/>
    <w:autoRedefine/>
    <w:uiPriority w:val="99"/>
    <w:pPr>
      <w:ind w:left="278" w:right="851" w:firstLine="0"/>
      <w:jc w:val="left"/>
    </w:pPr>
  </w:style>
  <w:style w:type="paragraph" w:styleId="31">
    <w:name w:val="toc 3"/>
    <w:basedOn w:val="a"/>
    <w:next w:val="a"/>
    <w:autoRedefine/>
    <w:uiPriority w:val="99"/>
    <w:pPr>
      <w:ind w:left="561" w:right="851" w:firstLine="0"/>
      <w:jc w:val="left"/>
    </w:pPr>
  </w:style>
  <w:style w:type="character" w:styleId="a4">
    <w:name w:val="page number"/>
    <w:uiPriority w:val="99"/>
    <w:rPr>
      <w:rFonts w:cs="Times New Roman"/>
      <w:sz w:val="24"/>
      <w:szCs w:val="24"/>
    </w:rPr>
  </w:style>
  <w:style w:type="paragraph" w:styleId="a5">
    <w:name w:val="footnote text"/>
    <w:basedOn w:val="a"/>
    <w:link w:val="a6"/>
    <w:uiPriority w:val="99"/>
    <w:pPr>
      <w:spacing w:line="240" w:lineRule="auto"/>
    </w:pPr>
    <w:rPr>
      <w:sz w:val="20"/>
      <w:szCs w:val="20"/>
    </w:rPr>
  </w:style>
  <w:style w:type="character" w:customStyle="1" w:styleId="a6">
    <w:name w:val="Текст сноски Знак"/>
    <w:link w:val="a5"/>
    <w:uiPriority w:val="99"/>
    <w:semiHidden/>
    <w:rPr>
      <w:rFonts w:ascii="Courier New" w:hAnsi="Courier New" w:cs="Courier New"/>
      <w:spacing w:val="20"/>
      <w:sz w:val="20"/>
      <w:szCs w:val="20"/>
    </w:rPr>
  </w:style>
  <w:style w:type="paragraph" w:styleId="a7">
    <w:name w:val="footer"/>
    <w:basedOn w:val="a"/>
    <w:link w:val="a8"/>
    <w:uiPriority w:val="99"/>
    <w:pPr>
      <w:tabs>
        <w:tab w:val="center" w:pos="4153"/>
        <w:tab w:val="right" w:pos="8306"/>
      </w:tabs>
      <w:spacing w:line="240" w:lineRule="auto"/>
      <w:ind w:firstLine="0"/>
      <w:jc w:val="left"/>
    </w:pPr>
    <w:rPr>
      <w:noProof/>
      <w:spacing w:val="0"/>
      <w:sz w:val="24"/>
      <w:szCs w:val="24"/>
      <w:lang w:val="en-US"/>
    </w:rPr>
  </w:style>
  <w:style w:type="character" w:customStyle="1" w:styleId="a8">
    <w:name w:val="Нижний колонтитул Знак"/>
    <w:link w:val="a7"/>
    <w:uiPriority w:val="99"/>
    <w:semiHidden/>
    <w:rPr>
      <w:rFonts w:ascii="Courier New" w:hAnsi="Courier New" w:cs="Courier New"/>
      <w:spacing w:val="20"/>
      <w:sz w:val="28"/>
      <w:szCs w:val="28"/>
    </w:rPr>
  </w:style>
  <w:style w:type="paragraph" w:customStyle="1" w:styleId="a9">
    <w:name w:val="Прдпись рисунков"/>
    <w:basedOn w:val="a"/>
    <w:uiPriority w:val="99"/>
    <w:pPr>
      <w:spacing w:after="240" w:line="240" w:lineRule="auto"/>
      <w:jc w:val="left"/>
    </w:pPr>
    <w:rPr>
      <w:i/>
      <w:iCs/>
      <w:sz w:val="24"/>
      <w:szCs w:val="24"/>
    </w:rPr>
  </w:style>
  <w:style w:type="paragraph" w:customStyle="1" w:styleId="aa">
    <w:name w:val="Подпись рисунков"/>
    <w:basedOn w:val="a"/>
    <w:uiPriority w:val="99"/>
    <w:pPr>
      <w:spacing w:line="240" w:lineRule="auto"/>
      <w:jc w:val="left"/>
    </w:pPr>
    <w:rPr>
      <w:i/>
      <w:iCs/>
      <w:sz w:val="24"/>
      <w:szCs w:val="24"/>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pacing w:val="20"/>
      <w:sz w:val="16"/>
      <w:szCs w:val="16"/>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rFonts w:ascii="Courier New" w:hAnsi="Courier New" w:cs="Courier New"/>
      <w:spacing w:val="20"/>
      <w:sz w:val="28"/>
      <w:szCs w:val="28"/>
    </w:rPr>
  </w:style>
  <w:style w:type="character" w:styleId="af">
    <w:name w:val="footnote reference"/>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H</Company>
  <LinksUpToDate>false</LinksUpToDate>
  <CharactersWithSpaces>25054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G_STT</dc:creator>
  <cp:keywords/>
  <dc:description/>
  <cp:lastModifiedBy>admin</cp:lastModifiedBy>
  <cp:revision>2</cp:revision>
  <cp:lastPrinted>2001-05-12T12:40:00Z</cp:lastPrinted>
  <dcterms:created xsi:type="dcterms:W3CDTF">2014-03-06T12:43:00Z</dcterms:created>
  <dcterms:modified xsi:type="dcterms:W3CDTF">2014-03-06T12:43:00Z</dcterms:modified>
</cp:coreProperties>
</file>