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07" w:rsidRDefault="00511607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Новая и новейшая история</w:t>
      </w:r>
    </w:p>
    <w:p w:rsidR="00511607" w:rsidRDefault="00511607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 студента: Горбунов Дмитрий Александрович.</w:t>
      </w:r>
    </w:p>
    <w:p w:rsidR="00511607" w:rsidRDefault="00511607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Контрольная работа ( вариант № 2)</w:t>
      </w:r>
    </w:p>
    <w:p w:rsidR="00511607" w:rsidRDefault="00511607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Факультет: катехизаторский.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чем состоит буржуазный характер статьи “Религия” из энциклопедии Д.Дидро? Каковы в ней новые, по сравнению со Средневековьем, идеи? Какие социальные группы являются носителями (выразителями) таких идей?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Данную статью можно охарактеризовать как буржуазную, так как религия рассматривается здесь с точки зрения крайнего субъективизма. И явное предподчтение отдается “природной”, “естественной” религии - деизму, когда человек в своей деятельности выносит за скобки Бога и основывает жизненные идеалы на сугубо земном, “гуманитарном” мировоззрении. В этом случае, по словам Гвардини, “всё, что может быть выведено из личности, или субъекта, признается окончательным, аналогично тому, как природа стала источником познания, а естественность - ценностным критерием”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vertAlign w:val="baseline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т.е. деятельность субъекта обращена на окружающий мир и им же и оценивается.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Здесь ещё сохраняется моральный долг перед “высшим существом”, но последовательное принятие идей деизма неизменно приводит к атеизму, что мы и видим на примере жизненного пути Дидро.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Деизм характеризует стремление заключить Бога на недосягаемых высотах, освободиться от Его влияния на умы человечества и строить свою жизнь и жизнь общества на основе собственных идей “здравого смысла”, доходящих порой до утилитаризма. Бог для них только безличная Первопричина, слишком великая, чтобы опускаться до тварного мира.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статье ясно проступают основные мировозренческие идеи Нового времени: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отказаться от навязываемого Богом Откровения, “существование и истинность”, которого надо ещё доказать;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 к природе, как к самодостаточному источнику естественной истины;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от авторитарного образа мышления, характерного для Средневековья, критическое осмысление действительности, основанное на соображениях собственного рассудка;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“Мир перестаёт быть тварью и становится “природой”; человеческое дело перестает быть служением Творцу, и само становится “творением”, “творчеством”, человек, прежде слуга и раб, становится “созидателем”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vertAlign w:val="baseline"/>
        </w:rPr>
        <w:footnoteReference w:id="2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 Вебер в статье “Протестанская этика и дух капитализма” пишет о существовавшей “на заре капиталистического развития” “связи между умением людей приспособиться к капиталистическому производству и их религиозной направленностью”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vertAlign w:val="baseline"/>
        </w:rPr>
        <w:footnoteReference w:id="3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Необходимое при капитализме отношение к своей профессии как к “призванию”, как к непреложному долгу и единственному смыслу существования безусловно требовало религиозной основы. Один из ярких проповедников “духа капитализма” Б. Франклин - “деист без какой-либо конфессиональной направленности”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vertAlign w:val="baseline"/>
        </w:rPr>
        <w:footnoteReference w:id="4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и, что характерно, сын строгого кальвиниста, любившего повторять: “Видел ли ты человека, проворного в своем деле? Он будет стоять пред царями”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vertAlign w:val="baseline"/>
        </w:rPr>
        <w:footnoteReference w:id="5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Именно религиозные плоды Реформации заложили основу для такого отношения человека к своей мирской деятельности. В Средние века “свободное приобретательство” было “этически индифферентным”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vertAlign w:val="baseline"/>
        </w:rPr>
        <w:footnoteReference w:id="6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явлением, и только Реформация возвела в абсолют “мирской профессиональный труд и религиозное воздаяние за него”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vertAlign w:val="baseline"/>
        </w:rPr>
        <w:footnoteReference w:id="7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Лютер в ходе своей проповеднической деятельности всё более склонялся к тому, что “выполнение мирских обязанностей служит при любых обстоятельствах единственным средством быть угодным Богу, что это - и только это - диктуется божественной волей и что поэтому все дозволенные профессии равны перед Богом”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vertAlign w:val="baseline"/>
        </w:rPr>
        <w:footnoteReference w:id="8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Главным носителем этих идей был выходящий на историческую арену средний слой, по словам М.Вебера это были “не только и не столько капиталистические предприниматели из кругов торгового патрициата, сколько поднимающиеся средние слои ремесленников”</w:t>
      </w:r>
      <w:r>
        <w:rPr>
          <w:rStyle w:val="a8"/>
          <w:rFonts w:ascii="Times New Roman" w:hAnsi="Times New Roman" w:cs="Times New Roman"/>
          <w:color w:val="000000"/>
          <w:sz w:val="24"/>
          <w:szCs w:val="24"/>
          <w:vertAlign w:val="baseline"/>
        </w:rPr>
        <w:footnoteReference w:id="9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Средневековые этические, политические и экономические рамки уже не устраивали эти классы. Поэтому для дальнейшего развития капитализма необходим был революционный переворот сознания, который и произошел, ознаменовав собой начало Нового времени.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Каковы причины срыва московских (1939 г.) переговоров между военными делегациями Великобритании, Франции и СССР?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неустойчивой военно-политической обстановкой летом 1939 г. Советский Союз одновременно действовал в двух взаимоисключающих направлениях: поиск сближения с западными демократиями (Великобритания и Франция) и союза с фашистской Германией. Причем закулисные тайные переговоры проводились и между Лондоном, Парижем и Берлином, и между СССР и Германией.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Главным предметом переговоров СССР, Англии и Франции была расстановка сил в случае начала военных действий в связи с возможной германской агрессией.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17 апреля 1939 г. СССР предложил заключить трехстороннее соглашение, охватывавшее своим действием всю Восточную Европу. В тот же день советский посол в Берлине поставил в известность германское правительство о желании Советского Союза установить самые хорошие отношения с Германией.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Западные страны также стремились извлечь максимальную выгоду из возможного союза с Германией или Советским Союзом и в то же время предотвратить советско-германское сближение. Всё более реальной становилась возможность повторения Мюнхенского соглашения 1938 г., когда Германии была отдана Судетская область, но сейчас уже эта участь грозила Польше.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Поэтому 1 июня, после публикации в “Правде” критической статьи о позиции западных держав, Англия и Франция предложили включить балтийские государства в сферу действия “восточной гарантии” при условии “западной гарантии” в отношении Швейцарии, Голландии и Люксембурга. Но так как упоминавшиеся государства не желали таких гарантий, то СССР отказался от этого соглашения.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Главным для Советского Союза было добиться гарантий того, что Прибалтика на окажется в руках Германии и получить право вводить войска на территорию Польши и Румынии для прохода к германским границам.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продолжения зашедших в тупик переговоров 11 августа в Москву прибыли делегации Англии и Франции, состоящие в основном из чиновников низкого ранга с весьма туманными полномочиями. Предметом обсуждения по-прежнему оставались вопросы количества выставляемых дивизий, гарантии оказания помощи, права прохода советских войск через территории Польши и Румынии к границам Германии. Делегации не имели права обсуждать данные вопросы, поэтому переговоры искусственно затягивались и 21 августа были перенесены на более поздний срок.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Параллельно советские дипломаты вели переговоры с Германией. 14 августа Риббентроп сообщил о готовности прибыть в Москву для заключения выгодного политического соглашения. 19 августа было подписано торговое соглашение, выгодное Советскому Союзу. После уточнений и корректив 23 августа в Москве был подписан договор о ненападении сроком на 10 лет, содержащий секретный протоколо разделе сфер влияния в Восточной Европе.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 образом, выбор был сделан и заключение советско-германского пакта привело к прекращению всех контактов между Англией, Францией и СССР, отзыву английской и французской делегаций из Москвы, хотя советское руководство и предполагало декларативно продолжить переговоры.</w:t>
      </w:r>
    </w:p>
    <w:p w:rsidR="00511607" w:rsidRDefault="00511607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Основные итоги Второй мировой войны.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послевоенного устройства мира обсуждались на конференциях “Большой тройки” в Ялте (февраль 1945 г.) и Потсдаме (июль-август 1945 г.). В Ялте были разделены сферы влияния - к СССР отходили Польша, Чехословакия, Венгрия, Болгария. Границы Польши устанавливали по “линии Керзона”, было принято решение о формировании правительства и организации свободных выборов. Германия разбивалась на зоны английской, американской, французской и советской оккупации. В обмен на территориальные приобретения (Курильские острова, Юж Сахалин) и экономические льготы СССР согасился на открытие военных действий против Японии. Были намечены денежные размеры репартации в пользу СССР (10 млрд.$).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решениию Постдамской конференции Германия потеряла 1/4 часть своей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млн. Населением по состаянию на 19938 г. Вост. Пруссия с г. Кёнигсберг была отдана СССР, остальная часть - Польше. Общая сумма репартаций была определена в 20 млрд $, половину из которых получал СССР. Германия была разделена на 3 зоны (с условием выполнения дополнительной территории Франции по её желанию), на территории советской оккупации находился Берлин, так же разделенный на зоны оккупации стран-победительниц.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 сентября капитулировала Япония и сфера влияния Советского Союза распространилась на Сев. Корею и Китай.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бремя войны вынес Советский Союз. Прямой материальный ущерб достиг почти 1/3 всего национального богатства страны, погибло до 27 млн. человек. Потери Германии убитыми составили менее 14 млн., США и Англии - по несколько сотен тысяч человек.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1945 г. были созданы ООН, Валютный фонд и Международный банк реконструкции и развития - организации, способствующие повышению стабильности и взаимопомощи в мире.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Одним из главных итогов войны стала новая геополитическая ситуация, характеризовавшаяся нарастанием противостояния ведущих капиталистических государств и Советского Союза. Мир разделился на два лагеря (НАТО и СЭВ в 1949 г.) по границе, установленной в Ялте.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Составить краткие словарные статьи (даты жизни, краткие биографические сведения, роль в истории) к следующим именам: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Валенса, Лех (1943- ) Польский профсоюзный деятель, президент Польши с 1990. Основатель профсоюза “Солидарность” в 1980, организации, не зависящей от компартии, боровшейся против польского правительства в 19800 - 81; в результате чего была запрещена. Род. в Попово в крестьянской семье. Начинал рабочим в Гданьске. В 1970 - руководитель забастовочного комитета объединения “Электромонтаж”, 1979-78 глава забастовочного комитета на судоверфи. Ведущие роли в профобъединении “Солидарность”. 1981-82 - интернирован после введения военного положения. С 1989 председатель Гражданского комитета “Солидарность”. Лауреат Нобелевской премии мира 1983. Жена - Мирослава Данута, имеет восьмерых детей.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Папа Иоанн Павел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(Кароль Войтила) (1920 - ), римский папа с октября 1978. Первый неитальянец, избранный папой с 1522. Родился в Вадовицах под Краковым, Польша. В 1958 был рукоположен в епископы и работал помощником Краковского архиепископа. С 1963 архиепископ - митрополит Краковский, 1967 - кардинал. Активное учатие во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Ватиканском соборе. Энциклика “Искупитель человеков”, послания о Св. Евхаристии, о семье, о работею Посетил многие страны, выступал в ООН. Укрепление дисциплины (утверждение целибата и идеи папской непогрешимости, выступления против политической деятельности священников, против женщин-священников, искусственной контрацепции и пр.), за что вызывает критику с либеральной стороны. 13 мая 1981 в Риме было совершено покушение на жизнь папы.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Чемберлен (Артур) Невиль (1869 - 1940), премьер-министр Великобритании в 1937 - 1940; консерватор. Сын Дж. Чемберлена, министра колоний Великобритании 1895 - 1903, с 1922 многократно входил в правительство. Сторонник политики умиротворения фашистских держав, подписал Мюнхенское соглашение. После начала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мировой войны, продолжал поиск путей для соглашения с фашисткой Германии за счет СССР. В обстановке военных неудач  Великобритании (в Норвегии) вышел в отставку. Пытался сгладить давнюю вражду между Англией и Ирландией, согласился вернуть Эйру порты, удерживаемые английскими морскими силами.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Риббентроп Йоахим (1893 - 1946), один из главных немецко-фашистских преступников. Агент по продаже шампанских вин, 1930 - примкнул к нацистской партии и вскоре стал приближенным Гитлера. После прихода фашистов к власти возглавил спец. бюро, созданное для выполнения особых заданий в области внешней политики. В 1936 - посол в Лондоне, нашел общий язык с Чемберленом, 1938 - 1945 министр иностранных дел. Проводил политику шантажа, провокаций, запугивания, обеспечивал захватническую программу Германии, дипломатическая подготовка важнейших актов гитлеровской агрессии, сколачивал военные блоки для завоевания мирового господства. Подписал соглашения в Мюнхене (1938), в Москве (пакт Молотов- Риббентроп,1939) и др. Казнен по приговору Международного военного трибунала в Нюрнберге (1946).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Надь Имре премьер-министр Венгрии (1954) по настоянию Н.С. Хрущева, но вскоре смещен на должность министра с/х. После осени 1956 (“польский????? Октябрь”) вновь стал премьер-министром. Взял курс на независимость - выход из Варшавского договора, обращение за помощью в ООН. Но ввод советских войск помешал этим планам. Надь был арестован и казнен в 1958 г.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Хонекер Эрих (1912-1994) находился у власти в ГДР 1973-89, глава государства, генеральный секретарь ЦК СЕПГ с 1976. В период фашистской диктатуры - в подпольи (с 1935 в заключении). В октябре 1989 был смещен и заменен Эгоном Кренцем, в декабре исключен из компартии. Далее последовали обвинения в коррупции во время его режима, он был заключен под домашний  арест. В 1993 ему было разрешено уехать в ссылку в Чили.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Чаушеску Николае (1918 - 1989) румынский политический деятель, глава Румынской коммунистической партии, у власти 1965-89. Проводил независимую политику, критиковал СССР. Назначил всех своих родственников, включая свою жену, Елену Чаушеску, на главные посты в государстве и партии, руководил страной во все возрастающей репрессивной манере, что привело к обнищанию страны. Чаушеску были свергнуты во время кровавого военного переворота в декабре 1989 и расстреляны.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Голль Шарль де (1890 - 1970) през. Франции в 1958 - 69. Прем.-мин. в 1944 - янв. 1946 и в 1958. Имя Г. тесно связано с победой над фашистскими агрессорами во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мировой войне: в 1940 основал некоммунистическое патриотическое движение “Свободная Франция” (с 1942 - “Сражающаяся Франция”), примкнувшее к антифашистской коалиции, в 1941 стал руководителем Французского национального комитета, в1943 -Французского комитета национального освобождения. После войны основатель и руководитель партии РПФ. В 1958 добился установления во Франции режима президентского типа, сузившего полномочия парламента. В области внешней политики проводил реалистический курс, осуществил поворот к советско-французскому сотрудничеству.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Монтгомери Бернард Лод (1887-) военный деятель Великобритании, фельдмаршал 1944, виконт Эль-Аламейский. Род. в Лондоне в семье епископа. В армии с 1908. Окончил Военную академию в Сандхерсте. Уч.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мировых войн. В 1939-40 - командующий 3-й пехотной девизии, действовавшей во Франции, затем командующий 8-й армией, руководил операциями против германско-итальянских войск в Сев. Африке, Италии, одержал победу под Эль-Аламейном (1942). С дек. 1943 командующий 21-й группой армии, действовавшей в Сев. Франции, Бельгии, Нидерландах и Сев. Германии, командующий британскими оккупационными войсками в Германии. 1946-48 нач. имп. Генштаба. 1948-51 председатель ком-та главнокомандующих Вост. советской обороны Зап. Союза, в 1951-58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зам. Верх. главнокомандующего объединенными силами НАТО в Европе. После отставки (1958) выступал за смягчение международн. напряженности, предостерегал угрозе возрождавшегося герм. милитаризма. В мемуарах критиковал амер. воен. командование во время </w:t>
      </w:r>
      <w:r>
        <w:rPr>
          <w:rFonts w:ascii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мировой войны.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Молотов (Скрябин) Вячеслав Михайлович (1980 - нач. 1990) полит. деятель СССР. В компартии с 1906. В Окт. революцию чл. Петроградского ВРК. С 1919 председатель Нижегородского губисполкома, секр. Донецкого губкомитета РКП(б). В 1920 секр. ЦККП(б) Украины. В 1921 - 30 секр.ЦК ВКП(б)ю В 1930-41 пред. СНК СССР. В 1941-57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зам. Председателя СНК(СМ) СССР, одноврем. В 1941-45 зам. Пред. ГКО, в 1939-49 и 1953-56 нарком, мин. ин. дел СССР. С 1957 посол в МНР. В 1960-62 представитель СССР при международном агентстве по атомной энергетике. С 1962 г. на пенсии. Скончался в безвестности в начале 90-ых.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Страффорд Томас Венворт. Первый граф Страффорд (1593 - 1641). Английский политический деятель, в начале был оппонентом Карла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1628 перешел на сторону роялистов. Деспотично правил как вице-король Ирландии (1632 -39), где организовал армию католиков, не подвластную парламенту. Вернулся в Англию, стал гл. Советником Карла и получил графство в 1640. По требованию парламента (Долгий парламент, откр. 3 ноября 1640) был арестован и казнен за гос. измену.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Гемпден (Хемпден) Джон (1594-1643) один из лидеров (с 1621) парламентской оппозиции накануне Англиийской буржуазной революции </w:t>
      </w:r>
      <w:r>
        <w:rPr>
          <w:rFonts w:ascii="Times New Roman" w:hAnsi="Times New Roman" w:cs="Times New Roman"/>
          <w:color w:val="000000"/>
          <w:sz w:val="24"/>
          <w:szCs w:val="24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начале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войны (1642-46) примкнул к индепендентам. Богатый торговец, родственник Кромвеля. В 1637 демонстративно отказался уплатить “корабельную подать”, введенную Карлом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 что был осужден (признано незаконным и отменено Долгим парламентом в 1640). Дело получило широкую огласку и активизировало борьбу против абсолютизма. Являлся активным членом Долгого парламента, был включен в список 5 видных лидеров, которых Карл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приказал арестовать в янв. 1642. Вместе с Кромвелем участвовал в организации парламентской армии. Один из инициаторов ареста лорда Страффорда и архиеп. Лода. Смертельно ранен в бою с королевскими войсками.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Кант Иммануил (1724-1804), нем. философ, родоначальник нем. классической философии, проф. Кёнингсбергского университета (1770). Член трех академий (Берлинской, Петербургской, Сиенской). В 1747-55 разработал космогоническую гипотезу происхождения солнечной системы из первоначальной туманности. В развитой с 1770 “критической философии” (“Критика чистого разума”. 1781, “Критика практического разума”. 1788, “Критика способности суждения”, 1790) выступил против догматизма умозрительной метафизики и скептицизма с учением о непознаваемых “вещах в себе” и познаваемых явлениях, образующих сферу бесконечного возможного опыта. Условие познания - общезначимые априорные формы, упорядочивающие хаос ощущений. Центральный принцип этики Канта - категорический императив.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Талейран Шарль Морис (1754-1838) франц дипломат, министр иностранных дел. Как епископ поддерживал умеренные реформы во времена Фр. революции, был отлучен от церкви папой римским и скрылся в США. В 1797-99 (при Директории), в 1799-1807 (в пер Консульства и империи Наполеона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1814-15 (при Людовике </w:t>
      </w:r>
      <w:r>
        <w:rPr>
          <w:rFonts w:ascii="Times New Roman" w:hAnsi="Times New Roman" w:cs="Times New Roman"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 Глава французской делегации на венском конгрессе 1814-15, там же и выдвинул принцип легитимизма в качестве основы межгосударственных отношений. Мастер тонкой дипломатической интриги; беспринципный политик.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 Мишель (1769-1815) маршал Франции. Герцог Эльхингенский (1808), кн. Московский (1812). Участник революции и наполеоновских войн, командующий корпусом под Аустерлицем, Йеной, в походе 1812 на Россию, за личную смелость его называли “храбрейшим из храбрых”. Успешно действовал в Ульмском сражении 1805 под Эльхингеном. 1808-11 воевал в Испании, где потерпел ряд неудач. В Бородинском сражении 1812 командовал центром наполеоновской армии, во время отступления - её арьергардом, который был почти полностью уничтожен в бою под Красным. Участвовал в кампаниях 1813 и1814. В 1814 перешел на сторону Бурбонов и был назначен пэром Франции и членом Военного совета. Когда Наполеон бежал с Эльбы, Ней был послан арестовать его, но вместо этого присоединился к нему и сражался при Ватерлоо. После “Ста дней” расстрелян Бурбонами.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Папа Пий </w:t>
      </w:r>
      <w:r>
        <w:rPr>
          <w:rFonts w:ascii="Times New Roman" w:hAnsi="Times New Roman" w:cs="Times New Roman"/>
          <w:color w:val="000000"/>
          <w:sz w:val="24"/>
          <w:szCs w:val="24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Барнаба, граф Кьярамонти. (1740-1823). Учился в Падуе, Парме и Риме. В 1782 епископ Тиволи, в 1782 кардинал, епархия Имоли. 1800 папа римский. После восстановления папского государства возвращение в Рим. 15 июля 1801 подписан конкордат с Наполеоном. 1804 - коронация Наполеона Бонапарта в Париже. 1805 - возвращение в Рим вопреки воли Наполеона. После занятия Рима французскими войсками в 1808, император присоединил папское государство к Франции, а Рим объявил свободным городом. В результате конфликта с Наполеоном папа попадает во французский плен. В 1814 папа освобожден, на Венском конгрессе папа вновь признан главой папского государства и католического мира. В 1814 им восстановлен орден иезуитов.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Золя Эмиль (1814-1902) французский писатель. В раннем творчестве ощутил влияние романтической поэтики. Литературно-критические книги против официального салонно-академического искусства в поддержку первых выступлений импрессионистов. Основные произведения: 20-ти т. серийный роман “Ругон-Маккары” (1871-93) - история одной семьи времен Второй империи, лучшие из которых: “Чрево Парижа” 1873, “Западня” 1877, “Жерминаль” 1885, “Деньги” 1891, “Разгром” 1892, где с большой реалистической силой изображены социальные противоречия. Незавершенная социальная утопия - тетралогия “4 Евангелия” (Плодовитось,1899; Труд,1901; Истина,1901; Справедливость, незаверш.). З. - сторонник принципов натурализма (“Экспериментальный роман” 1880. Представление о законах общества как о законах биологических. Выступил с протестом против дела кап. Дрйфуса, его памфлет “Я обвиняю” (1898) был направлен президенту республики и послужил сплочению интеллигенции в деле защиты невинно осужденного.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Людовик </w:t>
      </w:r>
      <w:r>
        <w:rPr>
          <w:rFonts w:ascii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(1743-93), французский король в 1774-92. Находился под влиянием своей жены, Марии-Антуанетты, французская финанасовая система пришла в такой упадок, что в 1789 были созваны Генеральные штаты (парламент) и началась французская революция. С начала французской революции призывал иностранные державы к интервенции. Полностью потерял авторитет в июне 1791, когда пытался бежать из страны, в августе 1792 дворец в Тюильри взят штурмом и королевская семья заключена под стражу. Свергнут в декабре 1792. Осужден Конвентом в январе 1793 и гильотинирован.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Мирабо Габриель Рикети граф де (1749-1791) деятель Французской революции. В молодости в виду беспорядочного образа жизни неоднократно подвергался тюремным заключениям. В 1776, после бегства с чужой женой за границу был приговорен к смертной казни, но вскоре амнистирован. В изгнании совершенствовал свой выдающийся ораторский талант и публиковал произведения против деспотичных форм правления. 1785 - возвращение в Париж, 1786 - дипломатическая миссия в Пруссии. Был избран депутатом в Генеральные штаты 1789 от 3-го сословия. Приобрел популярность обличениями абсолютизма. По мере развития революцииМ., сторонник конституционной монархии по английской модели, стал лидером крупной буржуазии. С за крупное вознаграждение и обязательство погасить долги в 1790 стал тайным агентом королевского двора. Марат и Робеспьер, угадывая его измену, выступали против него. После смерти обнаружены изобличающие документы и его прах, помещенный в Пантеон, перезахоронен на кладбище для преступников.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Марат Жан Поль (1743-93) деятель Французской революции, один из вождей якобинцев, журналист, ученый. До начала революции занимался естественными и философскими науками, доктор медицины (1775, Эдинбургский университет). С сентября 1789 издавал газету “Друг народа”, в которой разоблачал происки контрреволюции. В 1790 - скрывался от преследований противников в Англии, 1792 - возвращение и уход в подполье.Был избран в Национальный Конвент в 1792, где боролся с правыми жирондистами, организовавших суд трибунала над М. (апр.1793), но М. был оправдан  и возвращен в конвент. Вместе с М. Робеспьером руководил подготовкой народного восстания 31 мая - 2 июня 1793, отнявшего власть у его противников. Убит Шарлоттой Корде, жирондисткой.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 Хельмут (1903-) политический деятель Германии, консерватор, председатель Христианского демократического союза (ХДС) с 1973 и министр-президент земли Рейнланд-Пфальц с 1969. Канцлер Зап. Германии 1982-90. В 1958 защитил диссертацию в Гейдельбергском ун-те, доктор философии. В 1946 вступил в ХДС. С этого времени активно участвовал в её действии и занимал ведущие должности в ХДС. Будучи уже федеральным канцлером ФРГ работал в направлении объединения Германии и в 1990 был избран первым канцлером объединенной Германии. Его просчеты при объединении привели к падению его популярности в стране. Жена (с 1960) - Ханнелоре, имеет двоих сыновей.</w:t>
      </w:r>
    </w:p>
    <w:p w:rsidR="00511607" w:rsidRDefault="0051160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51160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607" w:rsidRDefault="00511607">
      <w:r>
        <w:separator/>
      </w:r>
    </w:p>
  </w:endnote>
  <w:endnote w:type="continuationSeparator" w:id="0">
    <w:p w:rsidR="00511607" w:rsidRDefault="0051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R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607" w:rsidRDefault="00511607">
      <w:r>
        <w:separator/>
      </w:r>
    </w:p>
  </w:footnote>
  <w:footnote w:type="continuationSeparator" w:id="0">
    <w:p w:rsidR="00511607" w:rsidRDefault="00511607">
      <w:r>
        <w:continuationSeparator/>
      </w:r>
    </w:p>
  </w:footnote>
  <w:footnote w:id="1">
    <w:p w:rsidR="00511607" w:rsidRDefault="00511607">
      <w:pPr>
        <w:pStyle w:val="a6"/>
      </w:pPr>
      <w:r>
        <w:rPr>
          <w:rStyle w:val="a8"/>
          <w:rFonts w:ascii="Times New Roman Rus" w:hAnsi="Times New Roman Rus" w:cs="Times New Roman Rus"/>
        </w:rPr>
        <w:footnoteRef/>
      </w:r>
      <w:r>
        <w:rPr>
          <w:rFonts w:ascii="Times New Roman Rus" w:hAnsi="Times New Roman Rus" w:cs="Times New Roman Rus"/>
          <w:lang w:val="ru-RU"/>
        </w:rPr>
        <w:t xml:space="preserve"> Ð. Ãâàðäèíè Êîíåö íîâîãî âðåìåíè; Âîïðîñû ôèëîñîôèè ¹4, 1990; ÀÍÑÑÑÐ Èí-ò ôèëîñîôèè, ñòð. 139.</w:t>
      </w:r>
    </w:p>
  </w:footnote>
  <w:footnote w:id="2">
    <w:p w:rsidR="00511607" w:rsidRDefault="00511607">
      <w:pPr>
        <w:pStyle w:val="a6"/>
      </w:pPr>
      <w:r>
        <w:footnoteRef/>
      </w:r>
      <w:r>
        <w:rPr>
          <w:rFonts w:ascii="Times New Roman Rus" w:hAnsi="Times New Roman Rus" w:cs="Times New Roman Rus"/>
          <w:lang w:val="ru-RU"/>
        </w:rPr>
        <w:t xml:space="preserve"> Òàì æå, ñòð. 140.</w:t>
      </w:r>
    </w:p>
  </w:footnote>
  <w:footnote w:id="3">
    <w:p w:rsidR="00511607" w:rsidRDefault="00511607">
      <w:pPr>
        <w:pStyle w:val="a6"/>
      </w:pPr>
      <w:r>
        <w:rPr>
          <w:rStyle w:val="a8"/>
        </w:rPr>
        <w:footnoteRef/>
      </w:r>
      <w:r>
        <w:rPr>
          <w:lang w:val="ru-RU"/>
        </w:rPr>
        <w:t xml:space="preserve"> </w:t>
      </w:r>
      <w:r>
        <w:rPr>
          <w:rFonts w:ascii="Times New Roman Rus" w:hAnsi="Times New Roman Rus" w:cs="Times New Roman Rus"/>
          <w:lang w:val="ru-RU"/>
        </w:rPr>
        <w:t>Âåáåð Ì. Èçáðàííûå ïðîèçâåäåíèÿ: Ïåð. ñ íåì./Ñîñò.. îáù. ðåä. è ïîñëåñë. Þ.Í. Äàâûäîâà; Ïðåäèñë. Ï.Ï. Ãàéäåíêî. - Ì.; Ïðîãðåññ, 1990. - 808 ñ. -.(Ñîöèîëîãè÷. ìûñëü Çàïàäà); ñòð. 84.</w:t>
      </w:r>
    </w:p>
  </w:footnote>
  <w:footnote w:id="4">
    <w:p w:rsidR="00511607" w:rsidRDefault="00511607">
      <w:pPr>
        <w:pStyle w:val="a6"/>
      </w:pPr>
      <w:r>
        <w:rPr>
          <w:rStyle w:val="a8"/>
          <w:rFonts w:ascii="Times New Roman Rus" w:hAnsi="Times New Roman Rus" w:cs="Times New Roman Rus"/>
        </w:rPr>
        <w:footnoteRef/>
      </w:r>
      <w:r>
        <w:rPr>
          <w:rFonts w:ascii="Times New Roman Rus" w:hAnsi="Times New Roman Rus" w:cs="Times New Roman Rus"/>
          <w:lang w:val="ru-RU"/>
        </w:rPr>
        <w:t xml:space="preserve"> Òàì æå, ñòð. 75.</w:t>
      </w:r>
    </w:p>
  </w:footnote>
  <w:footnote w:id="5">
    <w:p w:rsidR="00511607" w:rsidRDefault="00511607">
      <w:pPr>
        <w:pStyle w:val="a6"/>
      </w:pPr>
      <w:r>
        <w:rPr>
          <w:rStyle w:val="a8"/>
          <w:rFonts w:ascii="Times New Roman Rus" w:hAnsi="Times New Roman Rus" w:cs="Times New Roman Rus"/>
        </w:rPr>
        <w:footnoteRef/>
      </w:r>
      <w:r>
        <w:rPr>
          <w:rFonts w:ascii="Times New Roman Rus" w:hAnsi="Times New Roman Rus" w:cs="Times New Roman Rus"/>
          <w:lang w:val="ru-RU"/>
        </w:rPr>
        <w:t xml:space="preserve"> Òàì æå, ñòð. 76.</w:t>
      </w:r>
    </w:p>
  </w:footnote>
  <w:footnote w:id="6">
    <w:p w:rsidR="00511607" w:rsidRDefault="00511607">
      <w:pPr>
        <w:pStyle w:val="a6"/>
      </w:pPr>
      <w:r>
        <w:rPr>
          <w:rStyle w:val="a8"/>
          <w:rFonts w:ascii="Times New Roman Rus" w:hAnsi="Times New Roman Rus" w:cs="Times New Roman Rus"/>
        </w:rPr>
        <w:footnoteRef/>
      </w:r>
      <w:r>
        <w:rPr>
          <w:rFonts w:ascii="Times New Roman Rus" w:hAnsi="Times New Roman Rus" w:cs="Times New Roman Rus"/>
          <w:lang w:val="ru-RU"/>
        </w:rPr>
        <w:t xml:space="preserve"> Òàì æå, ñòð. 79.</w:t>
      </w:r>
    </w:p>
  </w:footnote>
  <w:footnote w:id="7">
    <w:p w:rsidR="00511607" w:rsidRDefault="00511607">
      <w:pPr>
        <w:pStyle w:val="a6"/>
      </w:pPr>
      <w:r>
        <w:rPr>
          <w:rStyle w:val="a8"/>
          <w:rFonts w:ascii="Times New Roman Rus" w:hAnsi="Times New Roman Rus" w:cs="Times New Roman Rus"/>
        </w:rPr>
        <w:footnoteRef/>
      </w:r>
      <w:r>
        <w:rPr>
          <w:rFonts w:ascii="Times New Roman Rus" w:hAnsi="Times New Roman Rus" w:cs="Times New Roman Rus"/>
          <w:lang w:val="ru-RU"/>
        </w:rPr>
        <w:t xml:space="preserve"> Òàì æå, ñòð. 99.</w:t>
      </w:r>
    </w:p>
  </w:footnote>
  <w:footnote w:id="8">
    <w:p w:rsidR="00511607" w:rsidRDefault="00511607">
      <w:pPr>
        <w:pStyle w:val="a6"/>
      </w:pPr>
      <w:r>
        <w:rPr>
          <w:rStyle w:val="a8"/>
          <w:rFonts w:ascii="Times New Roman Rus" w:hAnsi="Times New Roman Rus" w:cs="Times New Roman Rus"/>
        </w:rPr>
        <w:footnoteRef/>
      </w:r>
      <w:r>
        <w:rPr>
          <w:rFonts w:ascii="Times New Roman Rus" w:hAnsi="Times New Roman Rus" w:cs="Times New Roman Rus"/>
          <w:lang w:val="ru-RU"/>
        </w:rPr>
        <w:t xml:space="preserve"> Òàì æå, ñòð. 98.</w:t>
      </w:r>
    </w:p>
  </w:footnote>
  <w:footnote w:id="9">
    <w:p w:rsidR="00511607" w:rsidRDefault="00511607">
      <w:pPr>
        <w:pStyle w:val="a6"/>
      </w:pPr>
      <w:r>
        <w:rPr>
          <w:rStyle w:val="a8"/>
          <w:rFonts w:ascii="Times New Roman Rus" w:hAnsi="Times New Roman Rus" w:cs="Times New Roman Rus"/>
        </w:rPr>
        <w:footnoteRef/>
      </w:r>
      <w:r>
        <w:rPr>
          <w:rFonts w:ascii="Times New Roman Rus" w:hAnsi="Times New Roman Rus" w:cs="Times New Roman Rus"/>
          <w:lang w:val="ru-RU"/>
        </w:rPr>
        <w:t xml:space="preserve"> Òàì æå, ñòð. 85.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DA73CE"/>
    <w:lvl w:ilvl="0">
      <w:numFmt w:val="decimal"/>
      <w:lvlText w:val="*"/>
      <w:lvlJc w:val="left"/>
    </w:lvl>
  </w:abstractNum>
  <w:abstractNum w:abstractNumId="1">
    <w:nsid w:val="1055319F"/>
    <w:multiLevelType w:val="singleLevel"/>
    <w:tmpl w:val="B88662B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Rus" w:hAnsi="Times New Roman Rus" w:cs="Times New Roman Rus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">
    <w:nsid w:val="4D8E0456"/>
    <w:multiLevelType w:val="singleLevel"/>
    <w:tmpl w:val="0D84C43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Rus" w:hAnsi="Times New Roman Rus" w:cs="Times New Roman Rus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3">
    <w:nsid w:val="648A52AD"/>
    <w:multiLevelType w:val="singleLevel"/>
    <w:tmpl w:val="F1FE428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Rus" w:hAnsi="Times New Roman Rus" w:cs="Times New Roman Rus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4">
    <w:nsid w:val="65C6261B"/>
    <w:multiLevelType w:val="singleLevel"/>
    <w:tmpl w:val="3F2852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Rus" w:hAnsi="Times New Roman Rus" w:cs="Times New Roman Rus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"/>
        <w:legacy w:legacy="1" w:legacySpace="113" w:legacyIndent="57"/>
        <w:lvlJc w:val="left"/>
        <w:pPr>
          <w:ind w:left="777" w:hanging="57"/>
        </w:pPr>
        <w:rPr>
          <w:rFonts w:ascii="Monotype Sorts" w:hAnsi="Monotype Sorts" w:cs="Monotype Sorts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"/>
        <w:legacy w:legacy="1" w:legacySpace="397" w:legacyIndent="113"/>
        <w:lvlJc w:val="left"/>
        <w:pPr>
          <w:ind w:left="397" w:hanging="113"/>
        </w:pPr>
        <w:rPr>
          <w:rFonts w:ascii="Monotype Sorts" w:hAnsi="Monotype Sorts" w:cs="Monotype Sort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59"/>
  <w:drawingGridVerticalSpacing w:val="4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06C"/>
    <w:rsid w:val="001E706C"/>
    <w:rsid w:val="00511607"/>
    <w:rsid w:val="00525472"/>
    <w:rsid w:val="00C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07B16B-DAD0-4B96-91BA-7A8A6C82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 w:cs="CG Times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link w:val="a4"/>
    <w:uiPriority w:val="99"/>
    <w:semiHidden/>
    <w:rPr>
      <w:rFonts w:ascii="CG Times" w:hAnsi="CG Times" w:cs="CG Times"/>
      <w:sz w:val="20"/>
      <w:szCs w:val="20"/>
      <w:lang w:val="en-GB"/>
    </w:rPr>
  </w:style>
  <w:style w:type="paragraph" w:styleId="a6">
    <w:name w:val="footnote text"/>
    <w:basedOn w:val="a"/>
    <w:link w:val="a7"/>
    <w:uiPriority w:val="99"/>
  </w:style>
  <w:style w:type="character" w:customStyle="1" w:styleId="a7">
    <w:name w:val="Текст сноски Знак"/>
    <w:link w:val="a6"/>
    <w:uiPriority w:val="99"/>
    <w:semiHidden/>
    <w:rPr>
      <w:rFonts w:ascii="CG Times" w:hAnsi="CG Times" w:cs="CG Times"/>
      <w:sz w:val="20"/>
      <w:szCs w:val="20"/>
      <w:lang w:val="en-GB"/>
    </w:rPr>
  </w:style>
  <w:style w:type="character" w:styleId="a8">
    <w:name w:val="footnote reference"/>
    <w:uiPriority w:val="99"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CG Times" w:hAnsi="CG Times" w:cs="CG Times"/>
      <w:sz w:val="20"/>
      <w:szCs w:val="20"/>
      <w:lang w:val="en-GB"/>
    </w:rPr>
  </w:style>
  <w:style w:type="paragraph" w:styleId="ab">
    <w:name w:val="footer"/>
    <w:basedOn w:val="a"/>
    <w:link w:val="ac"/>
    <w:uiPriority w:val="99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CG Times" w:hAnsi="CG Times" w:cs="CG Times"/>
      <w:sz w:val="20"/>
      <w:szCs w:val="20"/>
      <w:lang w:val="en-GB"/>
    </w:rPr>
  </w:style>
  <w:style w:type="character" w:styleId="ad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14917</Words>
  <Characters>8503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И НОВЕЙШАЯ ИСТОРИЯ</vt:lpstr>
    </vt:vector>
  </TitlesOfParts>
  <Company>Computer Mechanics</Company>
  <LinksUpToDate>false</LinksUpToDate>
  <CharactersWithSpaces>23374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И НОВЕЙШАЯ ИСТОРИЯ</dc:title>
  <dc:subject/>
  <dc:creator>DMITREY</dc:creator>
  <cp:keywords/>
  <dc:description/>
  <cp:lastModifiedBy>admin</cp:lastModifiedBy>
  <cp:revision>2</cp:revision>
  <cp:lastPrinted>1997-01-27T17:45:00Z</cp:lastPrinted>
  <dcterms:created xsi:type="dcterms:W3CDTF">2014-01-26T19:00:00Z</dcterms:created>
  <dcterms:modified xsi:type="dcterms:W3CDTF">2014-01-26T19:00:00Z</dcterms:modified>
</cp:coreProperties>
</file>