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9A" w:rsidRDefault="00FC509A" w:rsidP="002B0F70">
      <w:pPr>
        <w:pStyle w:val="1"/>
        <w:spacing w:before="0" w:beforeAutospacing="0" w:after="0" w:afterAutospacing="0"/>
        <w:ind w:firstLine="709"/>
      </w:pPr>
    </w:p>
    <w:p w:rsidR="002B0F70" w:rsidRDefault="002B0F70" w:rsidP="002B0F70">
      <w:pPr>
        <w:pStyle w:val="1"/>
        <w:spacing w:before="0" w:beforeAutospacing="0" w:after="0" w:afterAutospacing="0"/>
        <w:ind w:firstLine="709"/>
      </w:pPr>
      <w:r>
        <w:t>О Стабилизационном фонде РФ</w:t>
      </w:r>
    </w:p>
    <w:p w:rsidR="002B0F70" w:rsidRDefault="002B0F70" w:rsidP="002B0F70">
      <w:pPr>
        <w:pStyle w:val="2"/>
        <w:spacing w:before="0" w:beforeAutospacing="0" w:after="0" w:afterAutospacing="0"/>
        <w:ind w:firstLine="709"/>
      </w:pPr>
      <w:r>
        <w:t>Предназначение Фонда</w:t>
      </w:r>
    </w:p>
    <w:p w:rsidR="002B0F70" w:rsidRDefault="002B0F70" w:rsidP="002B0F70">
      <w:pPr>
        <w:pStyle w:val="a3"/>
        <w:spacing w:before="0" w:beforeAutospacing="0" w:after="0" w:afterAutospacing="0"/>
        <w:ind w:firstLine="709"/>
      </w:pPr>
      <w:r>
        <w:t>Стабилизационный фонд Российской Федерации (далее - «Фонд»), основанный 1 января 2004 года, является частью федерального бюджета. Фонд призван обеспечивать сбалансированность федерального бюджета при снижении цены на нефть ниже базовой (установлена с 1 января 2006 года на уровне 27 долларов США за баррель сорта Юралс).</w:t>
      </w:r>
      <w:bookmarkStart w:id="0" w:name="_ftnref1"/>
      <w:r>
        <w:fldChar w:fldCharType="begin"/>
      </w:r>
      <w:r>
        <w:instrText xml:space="preserve"> HYPERLINK "http://www.minfin.ru/ru/stabfund/about/" \l "_ftn1" \o "" </w:instrText>
      </w:r>
      <w:r>
        <w:fldChar w:fldCharType="separate"/>
      </w:r>
      <w:r>
        <w:rPr>
          <w:rStyle w:val="a4"/>
        </w:rPr>
        <w:t>[1]</w:t>
      </w:r>
      <w:r>
        <w:fldChar w:fldCharType="end"/>
      </w:r>
      <w:bookmarkEnd w:id="0"/>
    </w:p>
    <w:p w:rsidR="002B0F70" w:rsidRDefault="002B0F70" w:rsidP="002B0F70">
      <w:pPr>
        <w:pStyle w:val="a3"/>
        <w:spacing w:before="0" w:beforeAutospacing="0" w:after="0" w:afterAutospacing="0"/>
        <w:ind w:firstLine="709"/>
      </w:pPr>
      <w:r>
        <w:t>Фонд способствует стабильности экономического развития страны, является одним из основных инструментов связывания излишней ликвидности, уменьшает инфляционное давление, снижает зависимость национальной экономики от неблагоприятных колебаний поступлений от экспорта сырьевых товаров.</w:t>
      </w:r>
    </w:p>
    <w:p w:rsidR="002B0F70" w:rsidRDefault="002B0F70" w:rsidP="002B0F70">
      <w:pPr>
        <w:pStyle w:val="2"/>
        <w:spacing w:before="0" w:beforeAutospacing="0" w:after="0" w:afterAutospacing="0"/>
        <w:ind w:firstLine="709"/>
      </w:pPr>
      <w:r>
        <w:t>Формирование и использование средств Фонда</w:t>
      </w:r>
    </w:p>
    <w:p w:rsidR="002B0F70" w:rsidRDefault="002B0F70" w:rsidP="002B0F70">
      <w:pPr>
        <w:pStyle w:val="a3"/>
        <w:spacing w:before="0" w:beforeAutospacing="0" w:after="0" w:afterAutospacing="0"/>
        <w:ind w:firstLine="709"/>
      </w:pPr>
      <w:r>
        <w:t>Фонд аккумулирует поступления средств вывозной таможенной пошлины на нефть и налога на добычу полезных ископаемых (нефть), при цене на нефть сорта Юралс, превышающей базовую цену.</w:t>
      </w:r>
      <w:bookmarkStart w:id="1" w:name="_ftnref2"/>
      <w:r>
        <w:fldChar w:fldCharType="begin"/>
      </w:r>
      <w:r>
        <w:instrText xml:space="preserve"> HYPERLINK "http://www.minfin.ru/ru/stabfund/about/" \l "_ftn2" \o "" </w:instrText>
      </w:r>
      <w:r>
        <w:fldChar w:fldCharType="separate"/>
      </w:r>
      <w:r>
        <w:rPr>
          <w:rStyle w:val="a4"/>
        </w:rPr>
        <w:t>[2]</w:t>
      </w:r>
      <w:r>
        <w:fldChar w:fldCharType="end"/>
      </w:r>
      <w:bookmarkEnd w:id="1"/>
    </w:p>
    <w:p w:rsidR="002B0F70" w:rsidRDefault="002B0F70" w:rsidP="002B0F70">
      <w:pPr>
        <w:pStyle w:val="a3"/>
        <w:spacing w:before="0" w:beforeAutospacing="0" w:after="0" w:afterAutospacing="0"/>
        <w:ind w:firstLine="709"/>
      </w:pPr>
      <w:r>
        <w:t>Средства Фонда могут быть использованы на покрытие дефицита федерального бюджета при снижении цены на нефть ниже базовой цены. Если накопленный объем средств Фонда превышает 500 млрд. рублей, сумма превышения может быть использована на иные цели. Объем использования средств Фонда определяется федеральным законом о федеральном бюджете на соответствующий финансовый год.</w:t>
      </w:r>
      <w:bookmarkStart w:id="2" w:name="_ftnref3"/>
      <w:r>
        <w:fldChar w:fldCharType="begin"/>
      </w:r>
      <w:r>
        <w:instrText xml:space="preserve"> HYPERLINK "http://www.minfin.ru/ru/stabfund/about/" \l "_ftn3" \o "" </w:instrText>
      </w:r>
      <w:r>
        <w:fldChar w:fldCharType="separate"/>
      </w:r>
      <w:r>
        <w:rPr>
          <w:rStyle w:val="a4"/>
        </w:rPr>
        <w:t>[3]</w:t>
      </w:r>
      <w:r>
        <w:fldChar w:fldCharType="end"/>
      </w:r>
      <w:bookmarkEnd w:id="2"/>
      <w:r>
        <w:t xml:space="preserve"> </w:t>
      </w:r>
    </w:p>
    <w:p w:rsidR="002B0F70" w:rsidRDefault="002B0F70" w:rsidP="002B0F70">
      <w:pPr>
        <w:pStyle w:val="a3"/>
        <w:spacing w:before="0" w:beforeAutospacing="0" w:after="0" w:afterAutospacing="0"/>
        <w:ind w:firstLine="709"/>
      </w:pPr>
      <w:r>
        <w:t>В 2005 году средства Фонда превысили уровень в 500 млрд. рублей, и их часть была направлена на выплату внешнего долга Российской Федерации и покрытие дефицита Пенсионного фонда Российской Федерации в следующих объемах:</w:t>
      </w:r>
    </w:p>
    <w:p w:rsidR="002B0F70" w:rsidRDefault="002B0F70" w:rsidP="002B0F70">
      <w:pPr>
        <w:numPr>
          <w:ilvl w:val="0"/>
          <w:numId w:val="1"/>
        </w:numPr>
        <w:ind w:left="0" w:firstLine="709"/>
      </w:pPr>
      <w:r>
        <w:t>93,5 млрд. рублей (эквивалент 3,3 млрд. долларов США) было направлено на погашение долга перед Международным валютным фондом;</w:t>
      </w:r>
    </w:p>
    <w:p w:rsidR="002B0F70" w:rsidRDefault="002B0F70" w:rsidP="002B0F70">
      <w:pPr>
        <w:numPr>
          <w:ilvl w:val="0"/>
          <w:numId w:val="1"/>
        </w:numPr>
        <w:ind w:left="0" w:firstLine="709"/>
      </w:pPr>
      <w:r>
        <w:t>430,1 млрд. рублей (эквивалент 15 млрд. долларов США) - на погашение долга перед странами-членами Парижского клуба;</w:t>
      </w:r>
    </w:p>
    <w:p w:rsidR="002B0F70" w:rsidRDefault="002B0F70" w:rsidP="002B0F70">
      <w:pPr>
        <w:numPr>
          <w:ilvl w:val="0"/>
          <w:numId w:val="1"/>
        </w:numPr>
        <w:ind w:left="0" w:firstLine="709"/>
      </w:pPr>
      <w:r>
        <w:t>123,8 млрд. рублей (эквивалент 4,3 млрд. долларов США) - на погашение долга перед Внешэкономбанком по кредитам, предоставленным Министерству финансов Российской Федерации в 1998-1999 годах для погашения и обслуживания государственного внешнего долга Российской Федерации;</w:t>
      </w:r>
    </w:p>
    <w:p w:rsidR="002B0F70" w:rsidRDefault="002B0F70" w:rsidP="002B0F70">
      <w:pPr>
        <w:numPr>
          <w:ilvl w:val="0"/>
          <w:numId w:val="1"/>
        </w:numPr>
        <w:ind w:left="0" w:firstLine="709"/>
      </w:pPr>
      <w:r>
        <w:t xml:space="preserve">30 млрд. рублей (эквивалент  1,04 млрд. долларов США) направлено на покрытие дефицита Пенсионного фонда Российской Федерации. </w:t>
      </w:r>
    </w:p>
    <w:p w:rsidR="002B0F70" w:rsidRDefault="002B0F70" w:rsidP="002B0F70">
      <w:pPr>
        <w:pStyle w:val="2"/>
        <w:spacing w:before="0" w:beforeAutospacing="0" w:after="0" w:afterAutospacing="0"/>
        <w:ind w:firstLine="709"/>
      </w:pPr>
      <w:r>
        <w:t>Управление средствами Фонда</w:t>
      </w:r>
    </w:p>
    <w:p w:rsidR="002B0F70" w:rsidRDefault="002B0F70" w:rsidP="002B0F70">
      <w:pPr>
        <w:pStyle w:val="a3"/>
        <w:spacing w:before="0" w:beforeAutospacing="0" w:after="0" w:afterAutospacing="0"/>
        <w:ind w:firstLine="709"/>
      </w:pPr>
      <w:r>
        <w:rPr>
          <w:u w:val="single"/>
        </w:rPr>
        <w:t>Структура управления</w:t>
      </w:r>
    </w:p>
    <w:p w:rsidR="002B0F70" w:rsidRDefault="002B0F70" w:rsidP="002B0F70">
      <w:pPr>
        <w:pStyle w:val="a3"/>
        <w:spacing w:before="0" w:beforeAutospacing="0" w:after="0" w:afterAutospacing="0"/>
        <w:ind w:firstLine="709"/>
      </w:pPr>
      <w:r>
        <w:t>Средствами Фонда управляет Министерство финансов Российской Федерации. Порядок управление определяется Правительством Российской Федерации. Отдельные полномочия по управлению средствами Фонда могут осуществляться Центральным банком Российской Федерации по договору с Правительством Российской Федерации.</w:t>
      </w:r>
      <w:bookmarkStart w:id="3" w:name="_ftnref4"/>
      <w:r>
        <w:fldChar w:fldCharType="begin"/>
      </w:r>
      <w:r>
        <w:instrText xml:space="preserve"> HYPERLINK "http://www.minfin.ru/ru/stabfund/about/" \l "_ftn4" \o "" </w:instrText>
      </w:r>
      <w:r>
        <w:fldChar w:fldCharType="separate"/>
      </w:r>
      <w:r>
        <w:rPr>
          <w:rStyle w:val="a4"/>
        </w:rPr>
        <w:t>[4]</w:t>
      </w:r>
      <w:r>
        <w:fldChar w:fldCharType="end"/>
      </w:r>
      <w:bookmarkEnd w:id="3"/>
    </w:p>
    <w:p w:rsidR="002B0F70" w:rsidRDefault="002B0F70" w:rsidP="002B0F70">
      <w:pPr>
        <w:pStyle w:val="a3"/>
        <w:spacing w:before="0" w:beforeAutospacing="0" w:after="0" w:afterAutospacing="0"/>
        <w:ind w:firstLine="709"/>
      </w:pPr>
      <w:r>
        <w:t>Согласно предназначению Фонда  - служить стратегическим финансовым резервом государства, его средства могут размещаться в долговые обязательства иностранных государств, перечень которых утверждается Правительством Российской Федерации.</w:t>
      </w:r>
      <w:bookmarkStart w:id="4" w:name="_ftnref5"/>
      <w:r>
        <w:fldChar w:fldCharType="begin"/>
      </w:r>
      <w:r>
        <w:instrText xml:space="preserve"> HYPERLINK "http://www.minfin.ru/ru/stabfund/about/" \l "_ftn5" \o "" </w:instrText>
      </w:r>
      <w:r>
        <w:fldChar w:fldCharType="separate"/>
      </w:r>
      <w:r>
        <w:rPr>
          <w:rStyle w:val="a4"/>
        </w:rPr>
        <w:t>[5]</w:t>
      </w:r>
      <w:r>
        <w:fldChar w:fldCharType="end"/>
      </w:r>
      <w:bookmarkEnd w:id="4"/>
    </w:p>
    <w:p w:rsidR="002B0F70" w:rsidRDefault="002B0F70" w:rsidP="002B0F70">
      <w:pPr>
        <w:pStyle w:val="a3"/>
        <w:spacing w:before="0" w:beforeAutospacing="0" w:after="0" w:afterAutospacing="0"/>
        <w:ind w:firstLine="709"/>
      </w:pPr>
      <w:r>
        <w:t>Правительство Российской Федерации наделило Министерство финансов Российской Федерации полномочиями по распределению активов Фонда в разрезе валют, весов и сроков и утвердило порядок управления средствами Фонда.</w:t>
      </w:r>
      <w:bookmarkStart w:id="5" w:name="_ftnref6"/>
      <w:r>
        <w:fldChar w:fldCharType="begin"/>
      </w:r>
      <w:r>
        <w:instrText xml:space="preserve"> HYPERLINK "http://www.minfin.ru/ru/stabfund/about/" \l "_ftn6" \o "" </w:instrText>
      </w:r>
      <w:r>
        <w:fldChar w:fldCharType="separate"/>
      </w:r>
      <w:r>
        <w:rPr>
          <w:rStyle w:val="a4"/>
        </w:rPr>
        <w:t>[6]</w:t>
      </w:r>
      <w:r>
        <w:fldChar w:fldCharType="end"/>
      </w:r>
      <w:bookmarkEnd w:id="5"/>
    </w:p>
    <w:p w:rsidR="002B0F70" w:rsidRDefault="002B0F70" w:rsidP="002B0F70">
      <w:pPr>
        <w:pStyle w:val="a3"/>
        <w:spacing w:before="0" w:beforeAutospacing="0" w:after="0" w:afterAutospacing="0"/>
        <w:ind w:firstLine="709"/>
      </w:pPr>
      <w:r>
        <w:t>В соответствии с утвержденным порядком управление средствами Фонда может осуществляться следующими способами (как каждым по отдельности, так и  одновременно):</w:t>
      </w:r>
      <w:bookmarkStart w:id="6" w:name="_ftnref7"/>
      <w:r>
        <w:fldChar w:fldCharType="begin"/>
      </w:r>
      <w:r>
        <w:instrText xml:space="preserve"> HYPERLINK "http://www.minfin.ru/ru/stabfund/about/" \l "_ftn7" \o "" </w:instrText>
      </w:r>
      <w:r>
        <w:fldChar w:fldCharType="separate"/>
      </w:r>
      <w:r>
        <w:rPr>
          <w:rStyle w:val="a4"/>
        </w:rPr>
        <w:t>[7]</w:t>
      </w:r>
      <w:r>
        <w:fldChar w:fldCharType="end"/>
      </w:r>
      <w:bookmarkEnd w:id="6"/>
    </w:p>
    <w:p w:rsidR="002B0F70" w:rsidRDefault="002B0F70" w:rsidP="002B0F70">
      <w:pPr>
        <w:numPr>
          <w:ilvl w:val="0"/>
          <w:numId w:val="2"/>
        </w:numPr>
        <w:ind w:left="0" w:firstLine="709"/>
      </w:pPr>
      <w:r>
        <w:t>путем приобретения за счет средств Фонда долговых обязательств иностранных государств;</w:t>
      </w:r>
    </w:p>
    <w:p w:rsidR="002B0F70" w:rsidRDefault="002B0F70" w:rsidP="002B0F70">
      <w:pPr>
        <w:numPr>
          <w:ilvl w:val="0"/>
          <w:numId w:val="2"/>
        </w:numPr>
        <w:ind w:left="0" w:firstLine="709"/>
      </w:pPr>
      <w:r>
        <w:t>путем приобретения за счет средств Фонда иностранной валюты и ее размещения на счетах по учету средств Стабилизационного фонда в иностранной валюте в Банке России. За пользование денежными средствами на указанных счетах Банк России уплачивает проценты. Порядок расчета и зачисления указанных процентов утверждается Министерством финансов Российской Федерации.</w:t>
      </w:r>
    </w:p>
    <w:p w:rsidR="002B0F70" w:rsidRDefault="002B0F70" w:rsidP="002B0F70">
      <w:pPr>
        <w:pStyle w:val="a3"/>
        <w:spacing w:before="0" w:beforeAutospacing="0" w:after="0" w:afterAutospacing="0"/>
        <w:ind w:firstLine="709"/>
      </w:pPr>
      <w:r>
        <w:t xml:space="preserve">В настоящее время Министерство финансов Российской Федерации управляет средствами Фонда согласно второму методу (путем размещения средств на валютных счетах в Банке России). При этом согласно утвержденному Министерством финансов Российской Федерации порядку расчета и зачисления процентов, начисляемых на счета по учету средств Стабилизационного фонда в иностранной валюте, Банк России уплачивает на остатки на указанных счетах проценты, эквивалентные доходности портфелей, сформированных из долговых обязательств иностранных государств, требования к которым утверждены Правительством Российской Федерации. </w:t>
      </w:r>
    </w:p>
    <w:p w:rsidR="002B0F70" w:rsidRDefault="002B0F70" w:rsidP="002B0F70">
      <w:pPr>
        <w:pStyle w:val="a3"/>
        <w:spacing w:before="0" w:beforeAutospacing="0" w:after="0" w:afterAutospacing="0"/>
        <w:ind w:firstLine="709"/>
      </w:pPr>
      <w:r>
        <w:rPr>
          <w:u w:val="single"/>
        </w:rPr>
        <w:t>Правила инвестирования средств Фонда</w:t>
      </w:r>
    </w:p>
    <w:p w:rsidR="002B0F70" w:rsidRDefault="002B0F70" w:rsidP="002B0F70">
      <w:pPr>
        <w:pStyle w:val="a3"/>
        <w:spacing w:before="0" w:beforeAutospacing="0" w:after="0" w:afterAutospacing="0"/>
        <w:ind w:firstLine="709"/>
      </w:pPr>
      <w:r>
        <w:t>Правительство Российской Федерации определило, что к долговым обязательствам иностранных государств, в которые могут размещаться средства Фонда, относятся:</w:t>
      </w:r>
    </w:p>
    <w:p w:rsidR="002B0F70" w:rsidRDefault="002B0F70" w:rsidP="002B0F70">
      <w:pPr>
        <w:numPr>
          <w:ilvl w:val="0"/>
          <w:numId w:val="3"/>
        </w:numPr>
        <w:ind w:left="0" w:firstLine="709"/>
      </w:pPr>
      <w:r>
        <w:t>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2B0F70" w:rsidRDefault="002B0F70" w:rsidP="002B0F70">
      <w:pPr>
        <w:numPr>
          <w:ilvl w:val="0"/>
          <w:numId w:val="3"/>
        </w:numPr>
        <w:ind w:left="0" w:firstLine="709"/>
      </w:pPr>
      <w:r>
        <w:t>долговые обязательства, страны-эмитенты которых имеют рейтинг долгосрочной кредитоспособности не ниже уровня «ААА» по классификации рейтинговых агентств «Фитч Рейтинг» или «Стандарт энд Пурс» (Fitch-Ratings или Standard &amp; Poor's) либо не ниже уровня «Ааа» по классификации рейтингового агентства «Мудис Инвесторс Сервис» (Moody's Investors Service);</w:t>
      </w:r>
    </w:p>
    <w:p w:rsidR="002B0F70" w:rsidRDefault="002B0F70" w:rsidP="002B0F70">
      <w:pPr>
        <w:numPr>
          <w:ilvl w:val="0"/>
          <w:numId w:val="3"/>
        </w:numPr>
        <w:ind w:left="0" w:firstLine="709"/>
      </w:pPr>
      <w:r>
        <w:t>долговые обязательства, срок погашения которых является фиксированным, условия выпуска и обращения не предусматривают права эмитента осуществить досрочно их выкуп (погашение) и права владельца долговых обязательств досрочно предъявить их к выкупу (погашению) эмитентом;</w:t>
      </w:r>
    </w:p>
    <w:p w:rsidR="002B0F70" w:rsidRDefault="002B0F70" w:rsidP="002B0F70">
      <w:pPr>
        <w:numPr>
          <w:ilvl w:val="0"/>
          <w:numId w:val="3"/>
        </w:numPr>
        <w:ind w:left="0" w:firstLine="709"/>
      </w:pPr>
      <w:r>
        <w:t>долговые обязательства, ставка купонного дохода (в случае купонных долговых обязательств) и номиналы которых являются фиксированными;</w:t>
      </w:r>
    </w:p>
    <w:p w:rsidR="002B0F70" w:rsidRDefault="002B0F70" w:rsidP="002B0F70">
      <w:pPr>
        <w:numPr>
          <w:ilvl w:val="0"/>
          <w:numId w:val="3"/>
        </w:numPr>
        <w:ind w:left="0" w:firstLine="709"/>
      </w:pPr>
      <w:r>
        <w:t>долговые обязательства, объем выпуска которых, находящийся в обращении, составляет не менее 1 млрд. долларов США для долговых обязательств, номинированных в долларах США, не менее 1 млрд. евро – для долговых обязательств, номинированных в евро, и не менее 0,5 млрд. фунтов стерлингов – для долговых обязательств, номинированных в фунтах стерлингов;</w:t>
      </w:r>
    </w:p>
    <w:p w:rsidR="002B0F70" w:rsidRDefault="002B0F70" w:rsidP="002B0F70">
      <w:pPr>
        <w:numPr>
          <w:ilvl w:val="0"/>
          <w:numId w:val="3"/>
        </w:numPr>
        <w:ind w:left="0" w:firstLine="709"/>
      </w:pPr>
      <w:r>
        <w:t>долговые обязательства, выпуски которых не являются выпусками, предназначенными для частного (непубличного) размещения.</w:t>
      </w:r>
    </w:p>
    <w:p w:rsidR="002B0F70" w:rsidRDefault="002B0F70" w:rsidP="002B0F70">
      <w:pPr>
        <w:pStyle w:val="a3"/>
        <w:spacing w:before="0" w:beforeAutospacing="0" w:after="0" w:afterAutospacing="0"/>
        <w:ind w:firstLine="709"/>
      </w:pPr>
      <w:r>
        <w:t>Срок до погашения долговых обязательств иностранных государств на день их приобретения (день формирования портфеля) находится в диапазоне, ограниченном следующими сроками (в годах):</w:t>
      </w:r>
    </w:p>
    <w:tbl>
      <w:tblPr>
        <w:tblW w:w="0" w:type="auto"/>
        <w:tblCellSpacing w:w="0" w:type="dxa"/>
        <w:tblCellMar>
          <w:left w:w="0" w:type="dxa"/>
          <w:right w:w="0" w:type="dxa"/>
        </w:tblCellMar>
        <w:tblLook w:val="0000" w:firstRow="0" w:lastRow="0" w:firstColumn="0" w:lastColumn="0" w:noHBand="0" w:noVBand="0"/>
      </w:tblPr>
      <w:tblGrid>
        <w:gridCol w:w="2810"/>
        <w:gridCol w:w="1129"/>
      </w:tblGrid>
      <w:tr w:rsidR="002B0F70" w:rsidTr="002B0F70">
        <w:trPr>
          <w:tblCellSpacing w:w="0" w:type="dxa"/>
        </w:trPr>
        <w:tc>
          <w:tcPr>
            <w:tcW w:w="0" w:type="auto"/>
            <w:vAlign w:val="center"/>
          </w:tcPr>
          <w:p w:rsidR="002B0F70" w:rsidRDefault="002B0F70" w:rsidP="002B0F70">
            <w:pPr>
              <w:ind w:firstLine="709"/>
            </w:pPr>
            <w:r>
              <w:t>Минимальный срок</w:t>
            </w:r>
          </w:p>
        </w:tc>
        <w:tc>
          <w:tcPr>
            <w:tcW w:w="0" w:type="auto"/>
            <w:vAlign w:val="center"/>
          </w:tcPr>
          <w:p w:rsidR="002B0F70" w:rsidRDefault="002B0F70" w:rsidP="002B0F70">
            <w:pPr>
              <w:ind w:firstLine="709"/>
            </w:pPr>
            <w:r>
              <w:t>0,25</w:t>
            </w:r>
          </w:p>
        </w:tc>
      </w:tr>
      <w:tr w:rsidR="002B0F70" w:rsidTr="002B0F70">
        <w:trPr>
          <w:tblCellSpacing w:w="0" w:type="dxa"/>
        </w:trPr>
        <w:tc>
          <w:tcPr>
            <w:tcW w:w="0" w:type="auto"/>
            <w:vAlign w:val="center"/>
          </w:tcPr>
          <w:p w:rsidR="002B0F70" w:rsidRDefault="002B0F70" w:rsidP="002B0F70">
            <w:pPr>
              <w:ind w:firstLine="709"/>
            </w:pPr>
            <w:r>
              <w:t>Максимальный срок</w:t>
            </w:r>
          </w:p>
        </w:tc>
        <w:tc>
          <w:tcPr>
            <w:tcW w:w="0" w:type="auto"/>
            <w:vAlign w:val="center"/>
          </w:tcPr>
          <w:p w:rsidR="002B0F70" w:rsidRDefault="002B0F70" w:rsidP="002B0F70">
            <w:pPr>
              <w:ind w:firstLine="709"/>
            </w:pPr>
            <w:r>
              <w:t>3</w:t>
            </w:r>
          </w:p>
        </w:tc>
      </w:tr>
    </w:tbl>
    <w:p w:rsidR="002B0F70" w:rsidRDefault="002B0F70" w:rsidP="002B0F70">
      <w:pPr>
        <w:pStyle w:val="a3"/>
        <w:spacing w:before="0" w:beforeAutospacing="0" w:after="0" w:afterAutospacing="0"/>
        <w:ind w:firstLine="709"/>
      </w:pPr>
      <w:r>
        <w:t>В настоящее время средства Фонда размещаются согласно следующей валютной структуре:</w:t>
      </w:r>
    </w:p>
    <w:tbl>
      <w:tblPr>
        <w:tblW w:w="0" w:type="auto"/>
        <w:tblCellSpacing w:w="0" w:type="dxa"/>
        <w:tblCellMar>
          <w:left w:w="0" w:type="dxa"/>
          <w:right w:w="0" w:type="dxa"/>
        </w:tblCellMar>
        <w:tblLook w:val="0000" w:firstRow="0" w:lastRow="0" w:firstColumn="0" w:lastColumn="0" w:noHBand="0" w:noVBand="0"/>
      </w:tblPr>
      <w:tblGrid>
        <w:gridCol w:w="2459"/>
        <w:gridCol w:w="1209"/>
      </w:tblGrid>
      <w:tr w:rsidR="002B0F70" w:rsidTr="002B0F70">
        <w:trPr>
          <w:tblCellSpacing w:w="0" w:type="dxa"/>
        </w:trPr>
        <w:tc>
          <w:tcPr>
            <w:tcW w:w="0" w:type="auto"/>
            <w:vAlign w:val="center"/>
          </w:tcPr>
          <w:p w:rsidR="002B0F70" w:rsidRDefault="002B0F70" w:rsidP="002B0F70">
            <w:pPr>
              <w:ind w:firstLine="709"/>
            </w:pPr>
            <w:r>
              <w:t>Доллар США</w:t>
            </w:r>
          </w:p>
        </w:tc>
        <w:tc>
          <w:tcPr>
            <w:tcW w:w="0" w:type="auto"/>
            <w:vAlign w:val="center"/>
          </w:tcPr>
          <w:p w:rsidR="002B0F70" w:rsidRDefault="002B0F70" w:rsidP="002B0F70">
            <w:pPr>
              <w:ind w:firstLine="709"/>
            </w:pPr>
            <w:r>
              <w:t>45 %</w:t>
            </w:r>
          </w:p>
        </w:tc>
      </w:tr>
      <w:tr w:rsidR="002B0F70" w:rsidTr="002B0F70">
        <w:trPr>
          <w:tblCellSpacing w:w="0" w:type="dxa"/>
        </w:trPr>
        <w:tc>
          <w:tcPr>
            <w:tcW w:w="0" w:type="auto"/>
            <w:vAlign w:val="center"/>
          </w:tcPr>
          <w:p w:rsidR="002B0F70" w:rsidRDefault="002B0F70" w:rsidP="002B0F70">
            <w:pPr>
              <w:ind w:firstLine="709"/>
            </w:pPr>
            <w:r>
              <w:t>Евро</w:t>
            </w:r>
          </w:p>
        </w:tc>
        <w:tc>
          <w:tcPr>
            <w:tcW w:w="0" w:type="auto"/>
            <w:vAlign w:val="center"/>
          </w:tcPr>
          <w:p w:rsidR="002B0F70" w:rsidRDefault="002B0F70" w:rsidP="002B0F70">
            <w:pPr>
              <w:ind w:firstLine="709"/>
            </w:pPr>
            <w:r>
              <w:t>45 %</w:t>
            </w:r>
          </w:p>
        </w:tc>
      </w:tr>
      <w:tr w:rsidR="002B0F70" w:rsidTr="002B0F70">
        <w:trPr>
          <w:tblCellSpacing w:w="0" w:type="dxa"/>
        </w:trPr>
        <w:tc>
          <w:tcPr>
            <w:tcW w:w="0" w:type="auto"/>
            <w:vAlign w:val="center"/>
          </w:tcPr>
          <w:p w:rsidR="002B0F70" w:rsidRDefault="002B0F70" w:rsidP="002B0F70">
            <w:pPr>
              <w:ind w:firstLine="709"/>
            </w:pPr>
            <w:r>
              <w:t>Фунт стерлингов</w:t>
            </w:r>
          </w:p>
        </w:tc>
        <w:tc>
          <w:tcPr>
            <w:tcW w:w="0" w:type="auto"/>
            <w:vAlign w:val="center"/>
          </w:tcPr>
          <w:p w:rsidR="002B0F70" w:rsidRDefault="002B0F70" w:rsidP="002B0F70">
            <w:pPr>
              <w:ind w:firstLine="709"/>
            </w:pPr>
            <w:r>
              <w:t>10 %</w:t>
            </w:r>
          </w:p>
        </w:tc>
      </w:tr>
    </w:tbl>
    <w:p w:rsidR="002B0F70" w:rsidRDefault="002B0F70" w:rsidP="002B0F70">
      <w:pPr>
        <w:pStyle w:val="a3"/>
        <w:spacing w:before="0" w:beforeAutospacing="0" w:after="0" w:afterAutospacing="0"/>
        <w:ind w:firstLine="709"/>
      </w:pPr>
      <w:r>
        <w:t xml:space="preserve">Министерство финансов Российской Федерации утверждает валютную структуру и указанный норматив срока до погашения, которые являются действительными для обоих упомянутых выше методов управления Фондом.  </w:t>
      </w:r>
    </w:p>
    <w:p w:rsidR="002B0F70" w:rsidRDefault="002B0F70" w:rsidP="002B0F70">
      <w:pPr>
        <w:pStyle w:val="2"/>
        <w:spacing w:before="0" w:beforeAutospacing="0" w:after="0" w:afterAutospacing="0"/>
        <w:ind w:firstLine="709"/>
      </w:pPr>
      <w:r>
        <w:t>Отчетность по операциям со средствами Фонда</w:t>
      </w:r>
    </w:p>
    <w:p w:rsidR="002B0F70" w:rsidRDefault="002B0F70" w:rsidP="002B0F70">
      <w:pPr>
        <w:pStyle w:val="a3"/>
        <w:spacing w:before="0" w:beforeAutospacing="0" w:after="0" w:afterAutospacing="0"/>
        <w:ind w:firstLine="709"/>
      </w:pPr>
      <w:r>
        <w:t>Министерство финансов Российской Федерации ежемесячно опубликовывает сведения об остатках средств Фонда на начало отчетного месяца, объеме поступлений средств и использовании средств Фонда в отчетном месяце.</w:t>
      </w:r>
      <w:bookmarkStart w:id="7" w:name="_ftnref8"/>
      <w:r>
        <w:fldChar w:fldCharType="begin"/>
      </w:r>
      <w:r>
        <w:instrText xml:space="preserve"> HYPERLINK "http://www.minfin.ru/ru/stabfund/about/" \l "_ftn8" \o "" </w:instrText>
      </w:r>
      <w:r>
        <w:fldChar w:fldCharType="separate"/>
      </w:r>
      <w:r>
        <w:rPr>
          <w:rStyle w:val="a4"/>
        </w:rPr>
        <w:t>[8]</w:t>
      </w:r>
      <w:r>
        <w:fldChar w:fldCharType="end"/>
      </w:r>
      <w:bookmarkEnd w:id="7"/>
    </w:p>
    <w:p w:rsidR="002B0F70" w:rsidRDefault="002B0F70" w:rsidP="002B0F70">
      <w:pPr>
        <w:pStyle w:val="a3"/>
        <w:spacing w:before="0" w:beforeAutospacing="0" w:after="0" w:afterAutospacing="0"/>
        <w:ind w:firstLine="709"/>
      </w:pPr>
      <w:r>
        <w:t>Министерство финансов Российской Федерации представляет в Правительство Российской Федерации в составе отчетности об исполнении федерального бюджета квартальные и годовые отчеты о поступлении средств в Фонд, их размещении и использовании.</w:t>
      </w:r>
      <w:bookmarkStart w:id="8" w:name="_ftnref9"/>
      <w:r>
        <w:fldChar w:fldCharType="begin"/>
      </w:r>
      <w:r>
        <w:instrText xml:space="preserve"> HYPERLINK "http://www.minfin.ru/ru/stabfund/about/" \l "_ftn9" \o "" </w:instrText>
      </w:r>
      <w:r>
        <w:fldChar w:fldCharType="separate"/>
      </w:r>
      <w:r>
        <w:rPr>
          <w:rStyle w:val="a4"/>
        </w:rPr>
        <w:t>[9]</w:t>
      </w:r>
      <w:r>
        <w:fldChar w:fldCharType="end"/>
      </w:r>
      <w:bookmarkEnd w:id="8"/>
      <w:r>
        <w:t xml:space="preserve"> </w:t>
      </w:r>
    </w:p>
    <w:p w:rsidR="002B0F70" w:rsidRDefault="002B0F70" w:rsidP="002B0F70">
      <w:pPr>
        <w:pStyle w:val="a3"/>
        <w:spacing w:before="0" w:beforeAutospacing="0" w:after="0" w:afterAutospacing="0"/>
        <w:ind w:firstLine="709"/>
      </w:pPr>
      <w:r>
        <w:t>Правительство Российской Федерации направляет ежеквартальные (нарастающим итогом) и годовые отчеты в Государственную Думу Федерального Собрания Российской Федерации и Совет Федерации Федерального Собрания Российской Федерации  о поступлении средств в Фонд, их размещении и использовании в составе отчетности об исполнении федерального бюджета.</w:t>
      </w:r>
      <w:bookmarkStart w:id="9" w:name="_ftnref10"/>
      <w:r>
        <w:fldChar w:fldCharType="begin"/>
      </w:r>
      <w:r>
        <w:instrText xml:space="preserve"> HYPERLINK "http://www.minfin.ru/ru/stabfund/about/" \l "_ftn10" \o "" </w:instrText>
      </w:r>
      <w:r>
        <w:fldChar w:fldCharType="separate"/>
      </w:r>
      <w:r>
        <w:rPr>
          <w:rStyle w:val="a4"/>
        </w:rPr>
        <w:t>[10]</w:t>
      </w:r>
      <w:r>
        <w:fldChar w:fldCharType="end"/>
      </w:r>
      <w:bookmarkEnd w:id="9"/>
    </w:p>
    <w:p w:rsidR="002B0F70" w:rsidRDefault="00846536" w:rsidP="002B0F70">
      <w:pPr>
        <w:ind w:firstLine="709"/>
      </w:pPr>
      <w:r>
        <w:pict>
          <v:rect id="_x0000_i1025" style="width:154.35pt;height:.75pt" o:hrpct="330" o:hrstd="t" o:hr="t" fillcolor="#a0a0a0" stroked="f"/>
        </w:pict>
      </w:r>
    </w:p>
    <w:bookmarkStart w:id="10" w:name="_ftn1"/>
    <w:p w:rsidR="002B0F70" w:rsidRDefault="002B0F70" w:rsidP="002B0F70">
      <w:pPr>
        <w:pStyle w:val="a3"/>
        <w:spacing w:before="0" w:beforeAutospacing="0" w:after="0" w:afterAutospacing="0"/>
        <w:ind w:firstLine="709"/>
      </w:pPr>
      <w:r>
        <w:fldChar w:fldCharType="begin"/>
      </w:r>
      <w:r>
        <w:instrText xml:space="preserve"> HYPERLINK "http://www.minfin.ru/ru/stabfund/about/" \l "_ftnref1" \o "" </w:instrText>
      </w:r>
      <w:r>
        <w:fldChar w:fldCharType="separate"/>
      </w:r>
      <w:r>
        <w:rPr>
          <w:rStyle w:val="a4"/>
        </w:rPr>
        <w:t>[1]</w:t>
      </w:r>
      <w:r>
        <w:fldChar w:fldCharType="end"/>
      </w:r>
      <w:bookmarkEnd w:id="10"/>
      <w:r>
        <w:t xml:space="preserve"> Бюджетный кодекс Российской Федерации, глава 13.1, статья 96.1, 96.2</w:t>
      </w:r>
    </w:p>
    <w:bookmarkStart w:id="11" w:name="_ftn2"/>
    <w:p w:rsidR="002B0F70" w:rsidRDefault="002B0F70" w:rsidP="002B0F70">
      <w:pPr>
        <w:pStyle w:val="a3"/>
        <w:spacing w:before="0" w:beforeAutospacing="0" w:after="0" w:afterAutospacing="0"/>
        <w:ind w:firstLine="709"/>
      </w:pPr>
      <w:r>
        <w:fldChar w:fldCharType="begin"/>
      </w:r>
      <w:r>
        <w:instrText xml:space="preserve"> HYPERLINK "http://www.minfin.ru/ru/stabfund/about/" \l "_ftnref2" \o "" </w:instrText>
      </w:r>
      <w:r>
        <w:fldChar w:fldCharType="separate"/>
      </w:r>
      <w:r>
        <w:rPr>
          <w:rStyle w:val="a4"/>
        </w:rPr>
        <w:t>[2]</w:t>
      </w:r>
      <w:r>
        <w:fldChar w:fldCharType="end"/>
      </w:r>
      <w:bookmarkEnd w:id="11"/>
      <w:r>
        <w:t xml:space="preserve"> Бюджетный кодекс Российской Федерации, глава 13.1, статья 96.1</w:t>
      </w:r>
    </w:p>
    <w:bookmarkStart w:id="12" w:name="_ftn3"/>
    <w:p w:rsidR="002B0F70" w:rsidRDefault="002B0F70" w:rsidP="002B0F70">
      <w:pPr>
        <w:pStyle w:val="a3"/>
        <w:spacing w:before="0" w:beforeAutospacing="0" w:after="0" w:afterAutospacing="0"/>
        <w:ind w:firstLine="709"/>
      </w:pPr>
      <w:r>
        <w:fldChar w:fldCharType="begin"/>
      </w:r>
      <w:r>
        <w:instrText xml:space="preserve"> HYPERLINK "http://www.minfin.ru/ru/stabfund/about/" \l "_ftnref3" \o "" </w:instrText>
      </w:r>
      <w:r>
        <w:fldChar w:fldCharType="separate"/>
      </w:r>
      <w:r>
        <w:rPr>
          <w:rStyle w:val="a4"/>
        </w:rPr>
        <w:t>[3]</w:t>
      </w:r>
      <w:r>
        <w:fldChar w:fldCharType="end"/>
      </w:r>
      <w:bookmarkEnd w:id="12"/>
      <w:r>
        <w:t xml:space="preserve"> Бюджетный кодекс Российской Федерации, глава 13.1, статья 96.3</w:t>
      </w:r>
    </w:p>
    <w:bookmarkStart w:id="13" w:name="_ftn4"/>
    <w:p w:rsidR="002B0F70" w:rsidRDefault="002B0F70" w:rsidP="002B0F70">
      <w:pPr>
        <w:pStyle w:val="a3"/>
        <w:spacing w:before="0" w:beforeAutospacing="0" w:after="0" w:afterAutospacing="0"/>
        <w:ind w:firstLine="709"/>
      </w:pPr>
      <w:r>
        <w:fldChar w:fldCharType="begin"/>
      </w:r>
      <w:r>
        <w:instrText xml:space="preserve"> HYPERLINK "http://www.minfin.ru/ru/stabfund/about/" \l "_ftnref4" \o "" </w:instrText>
      </w:r>
      <w:r>
        <w:fldChar w:fldCharType="separate"/>
      </w:r>
      <w:r>
        <w:rPr>
          <w:rStyle w:val="a4"/>
        </w:rPr>
        <w:t>[4]</w:t>
      </w:r>
      <w:r>
        <w:fldChar w:fldCharType="end"/>
      </w:r>
      <w:bookmarkEnd w:id="13"/>
      <w:r>
        <w:t xml:space="preserve"> Бюджетный кодекс Российской Федерации, глава 13.1, статья 96.4</w:t>
      </w:r>
    </w:p>
    <w:bookmarkStart w:id="14" w:name="_ftn5"/>
    <w:p w:rsidR="002B0F70" w:rsidRDefault="002B0F70" w:rsidP="002B0F70">
      <w:pPr>
        <w:pStyle w:val="a3"/>
        <w:spacing w:before="0" w:beforeAutospacing="0" w:after="0" w:afterAutospacing="0"/>
        <w:ind w:firstLine="709"/>
      </w:pPr>
      <w:r>
        <w:fldChar w:fldCharType="begin"/>
      </w:r>
      <w:r>
        <w:instrText xml:space="preserve"> HYPERLINK "http://www.minfin.ru/ru/stabfund/about/" \l "_ftnref5" \o "" </w:instrText>
      </w:r>
      <w:r>
        <w:fldChar w:fldCharType="separate"/>
      </w:r>
      <w:r>
        <w:rPr>
          <w:rStyle w:val="a4"/>
        </w:rPr>
        <w:t>[5]</w:t>
      </w:r>
      <w:r>
        <w:fldChar w:fldCharType="end"/>
      </w:r>
      <w:bookmarkEnd w:id="14"/>
      <w:r>
        <w:t xml:space="preserve"> Там же</w:t>
      </w:r>
    </w:p>
    <w:bookmarkStart w:id="15" w:name="_ftn6"/>
    <w:p w:rsidR="002B0F70" w:rsidRDefault="002B0F70" w:rsidP="002B0F70">
      <w:pPr>
        <w:pStyle w:val="a3"/>
        <w:spacing w:before="0" w:beforeAutospacing="0" w:after="0" w:afterAutospacing="0"/>
        <w:ind w:firstLine="709"/>
      </w:pPr>
      <w:r>
        <w:fldChar w:fldCharType="begin"/>
      </w:r>
      <w:r>
        <w:instrText xml:space="preserve"> HYPERLINK "http://www.minfin.ru/ru/stabfund/about/" \l "_ftnref6" \o "" </w:instrText>
      </w:r>
      <w:r>
        <w:fldChar w:fldCharType="separate"/>
      </w:r>
      <w:r>
        <w:rPr>
          <w:rStyle w:val="a4"/>
        </w:rPr>
        <w:t>[6]</w:t>
      </w:r>
      <w:r>
        <w:fldChar w:fldCharType="end"/>
      </w:r>
      <w:bookmarkEnd w:id="15"/>
      <w:r>
        <w:t xml:space="preserve"> Постановление Правительства Российской Федерации от 21 апреля </w:t>
      </w:r>
      <w:smartTag w:uri="urn:schemas-microsoft-com:office:smarttags" w:element="metricconverter">
        <w:smartTagPr>
          <w:attr w:name="ProductID" w:val="2006 г"/>
        </w:smartTagPr>
        <w:r>
          <w:t>2006 г</w:t>
        </w:r>
      </w:smartTag>
      <w:r>
        <w:t>. № 229 «О порядке управления средствами Стабилизационного фонда Российской Федерации»</w:t>
      </w:r>
    </w:p>
    <w:bookmarkStart w:id="16" w:name="_ftn7"/>
    <w:p w:rsidR="002B0F70" w:rsidRDefault="002B0F70" w:rsidP="002B0F70">
      <w:pPr>
        <w:pStyle w:val="a3"/>
        <w:spacing w:before="0" w:beforeAutospacing="0" w:after="0" w:afterAutospacing="0"/>
        <w:ind w:firstLine="709"/>
      </w:pPr>
      <w:r>
        <w:fldChar w:fldCharType="begin"/>
      </w:r>
      <w:r>
        <w:instrText xml:space="preserve"> HYPERLINK "http://www.minfin.ru/ru/stabfund/about/" \l "_ftnref7" \o "" </w:instrText>
      </w:r>
      <w:r>
        <w:fldChar w:fldCharType="separate"/>
      </w:r>
      <w:r>
        <w:rPr>
          <w:rStyle w:val="a4"/>
        </w:rPr>
        <w:t>[7]</w:t>
      </w:r>
      <w:r>
        <w:fldChar w:fldCharType="end"/>
      </w:r>
      <w:bookmarkEnd w:id="16"/>
      <w:r>
        <w:t xml:space="preserve"> Там же</w:t>
      </w:r>
    </w:p>
    <w:bookmarkStart w:id="17" w:name="_ftn8"/>
    <w:p w:rsidR="002B0F70" w:rsidRDefault="002B0F70" w:rsidP="002B0F70">
      <w:pPr>
        <w:pStyle w:val="a3"/>
        <w:spacing w:before="0" w:beforeAutospacing="0" w:after="0" w:afterAutospacing="0"/>
        <w:ind w:firstLine="709"/>
      </w:pPr>
      <w:r>
        <w:fldChar w:fldCharType="begin"/>
      </w:r>
      <w:r>
        <w:instrText xml:space="preserve"> HYPERLINK "http://www.minfin.ru/ru/stabfund/about/" \l "_ftnref8" \o "" </w:instrText>
      </w:r>
      <w:r>
        <w:fldChar w:fldCharType="separate"/>
      </w:r>
      <w:r>
        <w:rPr>
          <w:rStyle w:val="a4"/>
        </w:rPr>
        <w:t>[8]</w:t>
      </w:r>
      <w:r>
        <w:fldChar w:fldCharType="end"/>
      </w:r>
      <w:bookmarkEnd w:id="17"/>
      <w:r>
        <w:t xml:space="preserve"> Бюджетный кодекс Российской Федерации, глава 13.1, статья 96.5</w:t>
      </w:r>
    </w:p>
    <w:bookmarkStart w:id="18" w:name="_ftn9"/>
    <w:p w:rsidR="002B0F70" w:rsidRDefault="002B0F70" w:rsidP="002B0F70">
      <w:pPr>
        <w:pStyle w:val="a3"/>
        <w:spacing w:before="0" w:beforeAutospacing="0" w:after="0" w:afterAutospacing="0"/>
        <w:ind w:firstLine="709"/>
      </w:pPr>
      <w:r>
        <w:fldChar w:fldCharType="begin"/>
      </w:r>
      <w:r>
        <w:instrText xml:space="preserve"> HYPERLINK "http://www.minfin.ru/ru/stabfund/about/" \l "_ftnref9" \o "" </w:instrText>
      </w:r>
      <w:r>
        <w:fldChar w:fldCharType="separate"/>
      </w:r>
      <w:r>
        <w:rPr>
          <w:rStyle w:val="a4"/>
        </w:rPr>
        <w:t>[9]</w:t>
      </w:r>
      <w:r>
        <w:fldChar w:fldCharType="end"/>
      </w:r>
      <w:bookmarkEnd w:id="18"/>
      <w:r>
        <w:t xml:space="preserve"> Постановление Правительства Российской Федерации от 21 апреля </w:t>
      </w:r>
      <w:smartTag w:uri="urn:schemas-microsoft-com:office:smarttags" w:element="metricconverter">
        <w:smartTagPr>
          <w:attr w:name="ProductID" w:val="2006 г"/>
        </w:smartTagPr>
        <w:r>
          <w:t>2006 г</w:t>
        </w:r>
      </w:smartTag>
      <w:r>
        <w:t>. № 229 «О порядке управления средствами Стабилизационного фонда Российской Федерации»</w:t>
      </w:r>
    </w:p>
    <w:bookmarkStart w:id="19" w:name="_ftn10"/>
    <w:p w:rsidR="002B0F70" w:rsidRDefault="002B0F70" w:rsidP="002B0F70">
      <w:pPr>
        <w:pStyle w:val="a3"/>
        <w:spacing w:before="0" w:beforeAutospacing="0" w:after="0" w:afterAutospacing="0"/>
        <w:ind w:firstLine="709"/>
      </w:pPr>
      <w:r>
        <w:fldChar w:fldCharType="begin"/>
      </w:r>
      <w:r>
        <w:instrText xml:space="preserve"> HYPERLINK "http://www.minfin.ru/ru/stabfund/about/" \l "_ftnref10" \o "" </w:instrText>
      </w:r>
      <w:r>
        <w:fldChar w:fldCharType="separate"/>
      </w:r>
      <w:r>
        <w:rPr>
          <w:rStyle w:val="a4"/>
        </w:rPr>
        <w:t>[10]</w:t>
      </w:r>
      <w:r>
        <w:fldChar w:fldCharType="end"/>
      </w:r>
      <w:bookmarkEnd w:id="19"/>
      <w:r>
        <w:t xml:space="preserve"> Бюджетный кодекс Российской Федерации, глава 13.1, статья 96.5</w:t>
      </w:r>
    </w:p>
    <w:p w:rsidR="002B0F70" w:rsidRDefault="002B0F70" w:rsidP="002B0F70">
      <w:pPr>
        <w:pBdr>
          <w:bottom w:val="single" w:sz="12" w:space="1" w:color="auto"/>
        </w:pBdr>
        <w:ind w:firstLine="709"/>
      </w:pPr>
    </w:p>
    <w:p w:rsidR="002B0F70" w:rsidRDefault="002B0F70" w:rsidP="002B0F70">
      <w:pPr>
        <w:pBdr>
          <w:bottom w:val="single" w:sz="12" w:space="1" w:color="auto"/>
        </w:pBdr>
        <w:ind w:firstLine="709"/>
      </w:pPr>
    </w:p>
    <w:p w:rsidR="002B0F70" w:rsidRDefault="00846536" w:rsidP="002B0F70">
      <w:pPr>
        <w:pBdr>
          <w:bottom w:val="single" w:sz="12" w:space="1" w:color="auto"/>
        </w:pBdr>
        <w:ind w:firstLine="709"/>
      </w:pPr>
      <w:hyperlink r:id="rId5" w:tgtFrame="_blank" w:history="1"/>
    </w:p>
    <w:p w:rsidR="002B0F70" w:rsidRPr="002B0F70" w:rsidRDefault="002B0F70">
      <w:pPr>
        <w:rPr>
          <w:i/>
          <w:iCs/>
          <w:sz w:val="20"/>
          <w:szCs w:val="20"/>
        </w:rPr>
      </w:pPr>
      <w:r>
        <w:rPr>
          <w:i/>
          <w:iCs/>
        </w:rPr>
        <w:br/>
      </w:r>
    </w:p>
    <w:p w:rsidR="002B0F70" w:rsidRPr="002B0F70" w:rsidRDefault="002B0F70">
      <w:pPr>
        <w:rPr>
          <w:sz w:val="20"/>
          <w:szCs w:val="20"/>
        </w:rPr>
      </w:pPr>
      <w:r w:rsidRPr="002B0F70">
        <w:rPr>
          <w:b/>
          <w:sz w:val="20"/>
          <w:szCs w:val="20"/>
        </w:rPr>
        <w:t>Стабилизационный фонд Российской Федерации.</w:t>
      </w:r>
      <w:r w:rsidRPr="002B0F70">
        <w:rPr>
          <w:i/>
          <w:iCs/>
          <w:sz w:val="20"/>
          <w:szCs w:val="20"/>
        </w:rPr>
        <w:br/>
      </w:r>
      <w:r w:rsidRPr="002B0F70">
        <w:rPr>
          <w:rStyle w:val="a5"/>
          <w:sz w:val="20"/>
          <w:szCs w:val="20"/>
        </w:rPr>
        <w:t>Стабилизационный фонд РФ был создан в 2004г. Предполагалось правительством использовать его для сглаживания различных экономических трудностей, а так же поддержки экономики. Разговоров было много и суммы в фонде были накоплены поистине астрономические. Давайте посмотрим как его использовало наше правительство. Что то не шумят о нём последнее время на каждом углу. Видимо шуметь уже не о чем.</w:t>
      </w:r>
      <w:r w:rsidRPr="002B0F70">
        <w:rPr>
          <w:sz w:val="20"/>
          <w:szCs w:val="20"/>
        </w:rPr>
        <w:br/>
      </w:r>
      <w:r w:rsidRPr="002B0F70">
        <w:rPr>
          <w:sz w:val="20"/>
          <w:szCs w:val="20"/>
        </w:rPr>
        <w:br/>
        <w:t>И так в 2004г. предполагали в стабилизационном фонде накопить 83,4 миллиарда рублей. Однако к 2005 году средств там оказалось в пять раз больше – более 400 миллиардов рублей. В 2005 году тенденция сохранилась, к концу 2005 года в Стабфонде был триллион рублей, этому способствовали хорошие цены на нефть. Благодаря постоянным отчислениям стабилизационный фонд рос и на 30 января 2008г. составил 3 триллиона 851,80 миллиарда рублей.</w:t>
      </w:r>
      <w:r w:rsidRPr="002B0F70">
        <w:rPr>
          <w:sz w:val="20"/>
          <w:szCs w:val="20"/>
        </w:rPr>
        <w:br/>
      </w:r>
      <w:r w:rsidRPr="002B0F70">
        <w:rPr>
          <w:sz w:val="20"/>
          <w:szCs w:val="20"/>
        </w:rPr>
        <w:br/>
        <w:t>Deutsche Bank опубликовал список крупнейших государственных инвестиционных фондов мира по состоянию на 2007 год. В</w:t>
      </w:r>
      <w:r w:rsidRPr="002B0F70">
        <w:rPr>
          <w:sz w:val="20"/>
          <w:szCs w:val="20"/>
          <w:lang w:val="en-US"/>
        </w:rPr>
        <w:t xml:space="preserve"> </w:t>
      </w:r>
      <w:r w:rsidRPr="002B0F70">
        <w:rPr>
          <w:sz w:val="20"/>
          <w:szCs w:val="20"/>
        </w:rPr>
        <w:t>первую</w:t>
      </w:r>
      <w:r w:rsidRPr="002B0F70">
        <w:rPr>
          <w:sz w:val="20"/>
          <w:szCs w:val="20"/>
          <w:lang w:val="en-US"/>
        </w:rPr>
        <w:t xml:space="preserve"> </w:t>
      </w:r>
      <w:r w:rsidRPr="002B0F70">
        <w:rPr>
          <w:sz w:val="20"/>
          <w:szCs w:val="20"/>
        </w:rPr>
        <w:t>тройку</w:t>
      </w:r>
      <w:r w:rsidRPr="002B0F70">
        <w:rPr>
          <w:sz w:val="20"/>
          <w:szCs w:val="20"/>
          <w:lang w:val="en-US"/>
        </w:rPr>
        <w:t xml:space="preserve"> </w:t>
      </w:r>
      <w:r w:rsidRPr="002B0F70">
        <w:rPr>
          <w:sz w:val="20"/>
          <w:szCs w:val="20"/>
        </w:rPr>
        <w:t>вошли</w:t>
      </w:r>
      <w:r w:rsidRPr="002B0F70">
        <w:rPr>
          <w:sz w:val="20"/>
          <w:szCs w:val="20"/>
          <w:lang w:val="en-US"/>
        </w:rPr>
        <w:t>: Abu Dhabi Investment Authority (</w:t>
      </w:r>
      <w:r w:rsidRPr="002B0F70">
        <w:rPr>
          <w:sz w:val="20"/>
          <w:szCs w:val="20"/>
        </w:rPr>
        <w:t>ОАЭ</w:t>
      </w:r>
      <w:r w:rsidRPr="002B0F70">
        <w:rPr>
          <w:sz w:val="20"/>
          <w:szCs w:val="20"/>
          <w:lang w:val="en-US"/>
        </w:rPr>
        <w:t xml:space="preserve">, $875 </w:t>
      </w:r>
      <w:r w:rsidRPr="002B0F70">
        <w:rPr>
          <w:sz w:val="20"/>
          <w:szCs w:val="20"/>
        </w:rPr>
        <w:t>млрд</w:t>
      </w:r>
      <w:r w:rsidRPr="002B0F70">
        <w:rPr>
          <w:sz w:val="20"/>
          <w:szCs w:val="20"/>
          <w:lang w:val="en-US"/>
        </w:rPr>
        <w:t>.), Government of Singapore Investment Corporation (</w:t>
      </w:r>
      <w:r w:rsidRPr="002B0F70">
        <w:rPr>
          <w:sz w:val="20"/>
          <w:szCs w:val="20"/>
        </w:rPr>
        <w:t>Сингапур</w:t>
      </w:r>
      <w:r w:rsidRPr="002B0F70">
        <w:rPr>
          <w:sz w:val="20"/>
          <w:szCs w:val="20"/>
          <w:lang w:val="en-US"/>
        </w:rPr>
        <w:t xml:space="preserve">, $330 </w:t>
      </w:r>
      <w:r w:rsidRPr="002B0F70">
        <w:rPr>
          <w:sz w:val="20"/>
          <w:szCs w:val="20"/>
        </w:rPr>
        <w:t>млн</w:t>
      </w:r>
      <w:r w:rsidRPr="002B0F70">
        <w:rPr>
          <w:sz w:val="20"/>
          <w:szCs w:val="20"/>
          <w:lang w:val="en-US"/>
        </w:rPr>
        <w:t xml:space="preserve">.) </w:t>
      </w:r>
      <w:r w:rsidRPr="002B0F70">
        <w:rPr>
          <w:sz w:val="20"/>
          <w:szCs w:val="20"/>
        </w:rPr>
        <w:t>и</w:t>
      </w:r>
      <w:r w:rsidRPr="002B0F70">
        <w:rPr>
          <w:sz w:val="20"/>
          <w:szCs w:val="20"/>
          <w:lang w:val="en-US"/>
        </w:rPr>
        <w:t xml:space="preserve"> Government Pension Fund – Global (</w:t>
      </w:r>
      <w:r w:rsidRPr="002B0F70">
        <w:rPr>
          <w:sz w:val="20"/>
          <w:szCs w:val="20"/>
        </w:rPr>
        <w:t>Норвегия</w:t>
      </w:r>
      <w:r w:rsidRPr="002B0F70">
        <w:rPr>
          <w:sz w:val="20"/>
          <w:szCs w:val="20"/>
          <w:lang w:val="en-US"/>
        </w:rPr>
        <w:t xml:space="preserve">, $322 </w:t>
      </w:r>
      <w:r w:rsidRPr="002B0F70">
        <w:rPr>
          <w:sz w:val="20"/>
          <w:szCs w:val="20"/>
        </w:rPr>
        <w:t>млрд</w:t>
      </w:r>
      <w:r w:rsidRPr="002B0F70">
        <w:rPr>
          <w:sz w:val="20"/>
          <w:szCs w:val="20"/>
          <w:lang w:val="en-US"/>
        </w:rPr>
        <w:t xml:space="preserve">.). </w:t>
      </w:r>
      <w:r w:rsidRPr="002B0F70">
        <w:rPr>
          <w:sz w:val="20"/>
          <w:szCs w:val="20"/>
        </w:rPr>
        <w:t>Стабилизационный Фонд России оказался на восьмом месте по размеру активов – $127 млрд. В первую десятку также вошли структуры из Саудовской Аравии, Кувейта, Китая и Гонконга.</w:t>
      </w:r>
      <w:r w:rsidRPr="002B0F70">
        <w:rPr>
          <w:sz w:val="20"/>
          <w:szCs w:val="20"/>
        </w:rPr>
        <w:br/>
      </w:r>
      <w:r w:rsidRPr="002B0F70">
        <w:rPr>
          <w:sz w:val="20"/>
          <w:szCs w:val="20"/>
        </w:rPr>
        <w:br/>
        <w:t xml:space="preserve">с 1 февраля </w:t>
      </w:r>
      <w:smartTag w:uri="urn:schemas-microsoft-com:office:smarttags" w:element="metricconverter">
        <w:smartTagPr>
          <w:attr w:name="ProductID" w:val="2008 г"/>
        </w:smartTagPr>
        <w:r w:rsidRPr="002B0F70">
          <w:rPr>
            <w:sz w:val="20"/>
            <w:szCs w:val="20"/>
          </w:rPr>
          <w:t>2008 г</w:t>
        </w:r>
      </w:smartTag>
      <w:r w:rsidRPr="002B0F70">
        <w:rPr>
          <w:sz w:val="20"/>
          <w:szCs w:val="20"/>
        </w:rPr>
        <w:t>. Стабфонд как таковой исчезнет. Утвержденные правительством правила закрепят его раздел на нефтегазовый трансферт, Резервный фонд и Фонд национального благосостояния.</w:t>
      </w:r>
      <w:r w:rsidRPr="002B0F70">
        <w:rPr>
          <w:sz w:val="20"/>
          <w:szCs w:val="20"/>
        </w:rPr>
        <w:br/>
      </w:r>
      <w:r w:rsidRPr="002B0F70">
        <w:rPr>
          <w:sz w:val="20"/>
          <w:szCs w:val="20"/>
        </w:rPr>
        <w:br/>
        <w:t>Российское правительство уже начало залезать в Стабилизационный фонд. По словам вице-премьера и министра финансов А. Кудрина, на так называемые «институты развития» в 2008 году было направлено 640 млрд. руб.: 300 – из Стабфонда и 300 – из дополнительных доходов бюджета. К таким институтам Кудрин относит: Банк развития – на его капитализацию будет дано 180 млрд. руб.; корпорацию по управлению ЖКХ – Фонд содействия реформе ЖКХ, 240 млрд. руб.; корпорацию по нанотехнологиям – 130 млрд. руб.; Инвестфонд – 90 млрд. руб. Что же мы видим? Кто получает помощь от государства? В первую очередь банки, фонды, «нанотехнолог» Чубайс. Всё понятно, у простых Россиян возникает вопрос, куда потратят такие большие деньги? Конечно их сожрёт российский чиновничий аппарат, как и любые государственные и народные деньги. Конечно, стоит отметить, что стабфонд помог рассчитаться со всеми государственными долгами, набранными при Ельцыне, однако это наверное единственное разумное использование этого фонда.</w:t>
      </w:r>
      <w:r w:rsidRPr="002B0F70">
        <w:rPr>
          <w:sz w:val="20"/>
          <w:szCs w:val="20"/>
        </w:rPr>
        <w:br/>
      </w:r>
      <w:r w:rsidRPr="002B0F70">
        <w:rPr>
          <w:sz w:val="20"/>
          <w:szCs w:val="20"/>
        </w:rPr>
        <w:br/>
        <w:t>Ещё очень интересная вещь, касающаяся инвестиций, в свою экономику стабфонд средства не инвестирует. В постановлении правительства дословно говорится: «</w:t>
      </w:r>
      <w:r w:rsidRPr="002B0F70">
        <w:rPr>
          <w:rStyle w:val="a6"/>
          <w:sz w:val="20"/>
          <w:szCs w:val="20"/>
        </w:rPr>
        <w:t>о порядке инвестирования средств Стабфонда» страны, в ценные бумаги правительств которых Минфин может вкладывать денежные средства, расположены в странном порядке. Цитируем по официальному сайту Минфина РФ: «долговые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r w:rsidRPr="002B0F70">
        <w:rPr>
          <w:sz w:val="20"/>
          <w:szCs w:val="20"/>
        </w:rPr>
        <w:t>» Если взять все эти страны перечисленные здесь и перевести названия их на английский, то получится строго по алфавиту (по английскому алфавиту) Отсюда простой вывод постановление нашего правительства об инвестициях стабилизационного фонда было первоначально написано на английском. Здорово, правда. На досуге надо будет как нибудь ещё попереводить государственные документы на английский. Может выяснится, какие постановления ещё наше правительство принимает переводя дословно приказы с запада. Получается в Минфине у нас сидят совсем идиоты, у них не хватает ума не публиковать дословные переводы западных указок им. Ну соответственно понятно, что свою страну инвестировать не надо, мы ведь и так богатые.</w:t>
      </w:r>
      <w:r w:rsidRPr="002B0F70">
        <w:rPr>
          <w:sz w:val="20"/>
          <w:szCs w:val="20"/>
        </w:rPr>
        <w:br/>
      </w:r>
      <w:r w:rsidRPr="002B0F70">
        <w:rPr>
          <w:sz w:val="20"/>
          <w:szCs w:val="20"/>
        </w:rPr>
        <w:br/>
        <w:t>Вот и получается, что Стабфонд РФ финансирует западные экономики и растаскивается конторками типа Роснано. А сколько крика раньше было – фонд будущих поколений, поможет России на ноги встать и поднять экономику. Сейчас такие крики стихли, зачем привлекать общественное внимание, когда фонд активно разворовывается.</w:t>
      </w:r>
      <w:r w:rsidRPr="002B0F70">
        <w:rPr>
          <w:sz w:val="20"/>
          <w:szCs w:val="20"/>
        </w:rPr>
        <w:br/>
      </w:r>
      <w:r w:rsidRPr="002B0F70">
        <w:rPr>
          <w:sz w:val="20"/>
          <w:szCs w:val="20"/>
        </w:rPr>
        <w:br/>
        <w:t>Нам конечно, как населению России, ничего тут не светит и не обломится. Все трудности сейчас спишут на кризис – очень удобно.</w:t>
      </w:r>
    </w:p>
    <w:p w:rsidR="002B0F70" w:rsidRPr="002B0F70" w:rsidRDefault="002B0F70">
      <w:pPr>
        <w:rPr>
          <w:b/>
          <w:sz w:val="20"/>
          <w:szCs w:val="20"/>
        </w:rPr>
      </w:pPr>
      <w:r w:rsidRPr="002B0F70">
        <w:rPr>
          <w:b/>
          <w:sz w:val="20"/>
          <w:szCs w:val="20"/>
        </w:rPr>
        <w:t>http://badnews.org.ru/</w:t>
      </w:r>
      <w:bookmarkStart w:id="20" w:name="_GoBack"/>
      <w:bookmarkEnd w:id="20"/>
    </w:p>
    <w:sectPr w:rsidR="002B0F70" w:rsidRPr="002B0F70" w:rsidSect="002B0F7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4E22"/>
    <w:multiLevelType w:val="multilevel"/>
    <w:tmpl w:val="77B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0333D"/>
    <w:multiLevelType w:val="multilevel"/>
    <w:tmpl w:val="DFBC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006B3"/>
    <w:multiLevelType w:val="multilevel"/>
    <w:tmpl w:val="6508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F70"/>
    <w:rsid w:val="002B0F70"/>
    <w:rsid w:val="00846536"/>
    <w:rsid w:val="00EA242D"/>
    <w:rsid w:val="00F07040"/>
    <w:rsid w:val="00FC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E7ED302-588D-4275-8E4A-2735EC5F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B0F70"/>
    <w:pPr>
      <w:spacing w:before="100" w:beforeAutospacing="1" w:after="100" w:afterAutospacing="1"/>
      <w:outlineLvl w:val="0"/>
    </w:pPr>
    <w:rPr>
      <w:b/>
      <w:bCs/>
      <w:kern w:val="36"/>
      <w:sz w:val="48"/>
      <w:szCs w:val="48"/>
    </w:rPr>
  </w:style>
  <w:style w:type="paragraph" w:styleId="2">
    <w:name w:val="heading 2"/>
    <w:basedOn w:val="a"/>
    <w:qFormat/>
    <w:rsid w:val="002B0F7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0F70"/>
    <w:pPr>
      <w:spacing w:before="100" w:beforeAutospacing="1" w:after="100" w:afterAutospacing="1"/>
    </w:pPr>
  </w:style>
  <w:style w:type="character" w:styleId="a4">
    <w:name w:val="Hyperlink"/>
    <w:basedOn w:val="a0"/>
    <w:rsid w:val="002B0F70"/>
    <w:rPr>
      <w:color w:val="0000FF"/>
      <w:u w:val="single"/>
    </w:rPr>
  </w:style>
  <w:style w:type="character" w:styleId="a5">
    <w:name w:val="Emphasis"/>
    <w:basedOn w:val="a0"/>
    <w:qFormat/>
    <w:rsid w:val="002B0F70"/>
    <w:rPr>
      <w:i/>
      <w:iCs/>
    </w:rPr>
  </w:style>
  <w:style w:type="character" w:styleId="a6">
    <w:name w:val="Strong"/>
    <w:basedOn w:val="a0"/>
    <w:qFormat/>
    <w:rsid w:val="002B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3136">
      <w:bodyDiv w:val="1"/>
      <w:marLeft w:val="0"/>
      <w:marRight w:val="0"/>
      <w:marTop w:val="0"/>
      <w:marBottom w:val="0"/>
      <w:divBdr>
        <w:top w:val="none" w:sz="0" w:space="0" w:color="auto"/>
        <w:left w:val="none" w:sz="0" w:space="0" w:color="auto"/>
        <w:bottom w:val="none" w:sz="0" w:space="0" w:color="auto"/>
        <w:right w:val="none" w:sz="0" w:space="0" w:color="auto"/>
      </w:divBdr>
      <w:divsChild>
        <w:div w:id="62535114">
          <w:marLeft w:val="0"/>
          <w:marRight w:val="0"/>
          <w:marTop w:val="0"/>
          <w:marBottom w:val="0"/>
          <w:divBdr>
            <w:top w:val="none" w:sz="0" w:space="0" w:color="auto"/>
            <w:left w:val="none" w:sz="0" w:space="0" w:color="auto"/>
            <w:bottom w:val="none" w:sz="0" w:space="0" w:color="auto"/>
            <w:right w:val="none" w:sz="0" w:space="0" w:color="auto"/>
          </w:divBdr>
        </w:div>
        <w:div w:id="275138511">
          <w:marLeft w:val="0"/>
          <w:marRight w:val="0"/>
          <w:marTop w:val="0"/>
          <w:marBottom w:val="0"/>
          <w:divBdr>
            <w:top w:val="none" w:sz="0" w:space="0" w:color="auto"/>
            <w:left w:val="none" w:sz="0" w:space="0" w:color="auto"/>
            <w:bottom w:val="none" w:sz="0" w:space="0" w:color="auto"/>
            <w:right w:val="none" w:sz="0" w:space="0" w:color="auto"/>
          </w:divBdr>
        </w:div>
        <w:div w:id="1313484915">
          <w:marLeft w:val="0"/>
          <w:marRight w:val="0"/>
          <w:marTop w:val="0"/>
          <w:marBottom w:val="0"/>
          <w:divBdr>
            <w:top w:val="none" w:sz="0" w:space="0" w:color="auto"/>
            <w:left w:val="none" w:sz="0" w:space="0" w:color="auto"/>
            <w:bottom w:val="none" w:sz="0" w:space="0" w:color="auto"/>
            <w:right w:val="none" w:sz="0" w:space="0" w:color="auto"/>
          </w:divBdr>
          <w:divsChild>
            <w:div w:id="18263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fin.ru/ru/stabfund/about/printable.php?prin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 Стабилизационном фонде РФ</vt:lpstr>
    </vt:vector>
  </TitlesOfParts>
  <Company>Организация</Company>
  <LinksUpToDate>false</LinksUpToDate>
  <CharactersWithSpaces>13891</CharactersWithSpaces>
  <SharedDoc>false</SharedDoc>
  <HLinks>
    <vt:vector size="126" baseType="variant">
      <vt:variant>
        <vt:i4>786525</vt:i4>
      </vt:variant>
      <vt:variant>
        <vt:i4>60</vt:i4>
      </vt:variant>
      <vt:variant>
        <vt:i4>0</vt:i4>
      </vt:variant>
      <vt:variant>
        <vt:i4>5</vt:i4>
      </vt:variant>
      <vt:variant>
        <vt:lpwstr>http://www.minfin.ru/ru/stabfund/about/printable.php?print=1</vt:lpwstr>
      </vt:variant>
      <vt:variant>
        <vt:lpwstr/>
      </vt:variant>
      <vt:variant>
        <vt:i4>6684676</vt:i4>
      </vt:variant>
      <vt:variant>
        <vt:i4>57</vt:i4>
      </vt:variant>
      <vt:variant>
        <vt:i4>0</vt:i4>
      </vt:variant>
      <vt:variant>
        <vt:i4>5</vt:i4>
      </vt:variant>
      <vt:variant>
        <vt:lpwstr>http://www.minfin.ru/ru/stabfund/about/</vt:lpwstr>
      </vt:variant>
      <vt:variant>
        <vt:lpwstr>_ftnref10</vt:lpwstr>
      </vt:variant>
      <vt:variant>
        <vt:i4>7208964</vt:i4>
      </vt:variant>
      <vt:variant>
        <vt:i4>54</vt:i4>
      </vt:variant>
      <vt:variant>
        <vt:i4>0</vt:i4>
      </vt:variant>
      <vt:variant>
        <vt:i4>5</vt:i4>
      </vt:variant>
      <vt:variant>
        <vt:lpwstr>http://www.minfin.ru/ru/stabfund/about/</vt:lpwstr>
      </vt:variant>
      <vt:variant>
        <vt:lpwstr>_ftnref9</vt:lpwstr>
      </vt:variant>
      <vt:variant>
        <vt:i4>7274500</vt:i4>
      </vt:variant>
      <vt:variant>
        <vt:i4>51</vt:i4>
      </vt:variant>
      <vt:variant>
        <vt:i4>0</vt:i4>
      </vt:variant>
      <vt:variant>
        <vt:i4>5</vt:i4>
      </vt:variant>
      <vt:variant>
        <vt:lpwstr>http://www.minfin.ru/ru/stabfund/about/</vt:lpwstr>
      </vt:variant>
      <vt:variant>
        <vt:lpwstr>_ftnref8</vt:lpwstr>
      </vt:variant>
      <vt:variant>
        <vt:i4>6291460</vt:i4>
      </vt:variant>
      <vt:variant>
        <vt:i4>48</vt:i4>
      </vt:variant>
      <vt:variant>
        <vt:i4>0</vt:i4>
      </vt:variant>
      <vt:variant>
        <vt:i4>5</vt:i4>
      </vt:variant>
      <vt:variant>
        <vt:lpwstr>http://www.minfin.ru/ru/stabfund/about/</vt:lpwstr>
      </vt:variant>
      <vt:variant>
        <vt:lpwstr>_ftnref7</vt:lpwstr>
      </vt:variant>
      <vt:variant>
        <vt:i4>6356996</vt:i4>
      </vt:variant>
      <vt:variant>
        <vt:i4>45</vt:i4>
      </vt:variant>
      <vt:variant>
        <vt:i4>0</vt:i4>
      </vt:variant>
      <vt:variant>
        <vt:i4>5</vt:i4>
      </vt:variant>
      <vt:variant>
        <vt:lpwstr>http://www.minfin.ru/ru/stabfund/about/</vt:lpwstr>
      </vt:variant>
      <vt:variant>
        <vt:lpwstr>_ftnref6</vt:lpwstr>
      </vt:variant>
      <vt:variant>
        <vt:i4>6422532</vt:i4>
      </vt:variant>
      <vt:variant>
        <vt:i4>42</vt:i4>
      </vt:variant>
      <vt:variant>
        <vt:i4>0</vt:i4>
      </vt:variant>
      <vt:variant>
        <vt:i4>5</vt:i4>
      </vt:variant>
      <vt:variant>
        <vt:lpwstr>http://www.minfin.ru/ru/stabfund/about/</vt:lpwstr>
      </vt:variant>
      <vt:variant>
        <vt:lpwstr>_ftnref5</vt:lpwstr>
      </vt:variant>
      <vt:variant>
        <vt:i4>6488068</vt:i4>
      </vt:variant>
      <vt:variant>
        <vt:i4>39</vt:i4>
      </vt:variant>
      <vt:variant>
        <vt:i4>0</vt:i4>
      </vt:variant>
      <vt:variant>
        <vt:i4>5</vt:i4>
      </vt:variant>
      <vt:variant>
        <vt:lpwstr>http://www.minfin.ru/ru/stabfund/about/</vt:lpwstr>
      </vt:variant>
      <vt:variant>
        <vt:lpwstr>_ftnref4</vt:lpwstr>
      </vt:variant>
      <vt:variant>
        <vt:i4>6553604</vt:i4>
      </vt:variant>
      <vt:variant>
        <vt:i4>36</vt:i4>
      </vt:variant>
      <vt:variant>
        <vt:i4>0</vt:i4>
      </vt:variant>
      <vt:variant>
        <vt:i4>5</vt:i4>
      </vt:variant>
      <vt:variant>
        <vt:lpwstr>http://www.minfin.ru/ru/stabfund/about/</vt:lpwstr>
      </vt:variant>
      <vt:variant>
        <vt:lpwstr>_ftnref3</vt:lpwstr>
      </vt:variant>
      <vt:variant>
        <vt:i4>6619140</vt:i4>
      </vt:variant>
      <vt:variant>
        <vt:i4>33</vt:i4>
      </vt:variant>
      <vt:variant>
        <vt:i4>0</vt:i4>
      </vt:variant>
      <vt:variant>
        <vt:i4>5</vt:i4>
      </vt:variant>
      <vt:variant>
        <vt:lpwstr>http://www.minfin.ru/ru/stabfund/about/</vt:lpwstr>
      </vt:variant>
      <vt:variant>
        <vt:lpwstr>_ftnref2</vt:lpwstr>
      </vt:variant>
      <vt:variant>
        <vt:i4>6684676</vt:i4>
      </vt:variant>
      <vt:variant>
        <vt:i4>30</vt:i4>
      </vt:variant>
      <vt:variant>
        <vt:i4>0</vt:i4>
      </vt:variant>
      <vt:variant>
        <vt:i4>5</vt:i4>
      </vt:variant>
      <vt:variant>
        <vt:lpwstr>http://www.minfin.ru/ru/stabfund/about/</vt:lpwstr>
      </vt:variant>
      <vt:variant>
        <vt:lpwstr>_ftnref1</vt:lpwstr>
      </vt:variant>
      <vt:variant>
        <vt:i4>131105</vt:i4>
      </vt:variant>
      <vt:variant>
        <vt:i4>27</vt:i4>
      </vt:variant>
      <vt:variant>
        <vt:i4>0</vt:i4>
      </vt:variant>
      <vt:variant>
        <vt:i4>5</vt:i4>
      </vt:variant>
      <vt:variant>
        <vt:lpwstr>http://www.minfin.ru/ru/stabfund/about/</vt:lpwstr>
      </vt:variant>
      <vt:variant>
        <vt:lpwstr>_ftn10</vt:lpwstr>
      </vt:variant>
      <vt:variant>
        <vt:i4>3276816</vt:i4>
      </vt:variant>
      <vt:variant>
        <vt:i4>24</vt:i4>
      </vt:variant>
      <vt:variant>
        <vt:i4>0</vt:i4>
      </vt:variant>
      <vt:variant>
        <vt:i4>5</vt:i4>
      </vt:variant>
      <vt:variant>
        <vt:lpwstr>http://www.minfin.ru/ru/stabfund/about/</vt:lpwstr>
      </vt:variant>
      <vt:variant>
        <vt:lpwstr>_ftn9</vt:lpwstr>
      </vt:variant>
      <vt:variant>
        <vt:i4>3276816</vt:i4>
      </vt:variant>
      <vt:variant>
        <vt:i4>21</vt:i4>
      </vt:variant>
      <vt:variant>
        <vt:i4>0</vt:i4>
      </vt:variant>
      <vt:variant>
        <vt:i4>5</vt:i4>
      </vt:variant>
      <vt:variant>
        <vt:lpwstr>http://www.minfin.ru/ru/stabfund/about/</vt:lpwstr>
      </vt:variant>
      <vt:variant>
        <vt:lpwstr>_ftn8</vt:lpwstr>
      </vt:variant>
      <vt:variant>
        <vt:i4>3276816</vt:i4>
      </vt:variant>
      <vt:variant>
        <vt:i4>18</vt:i4>
      </vt:variant>
      <vt:variant>
        <vt:i4>0</vt:i4>
      </vt:variant>
      <vt:variant>
        <vt:i4>5</vt:i4>
      </vt:variant>
      <vt:variant>
        <vt:lpwstr>http://www.minfin.ru/ru/stabfund/about/</vt:lpwstr>
      </vt:variant>
      <vt:variant>
        <vt:lpwstr>_ftn7</vt:lpwstr>
      </vt:variant>
      <vt:variant>
        <vt:i4>3276816</vt:i4>
      </vt:variant>
      <vt:variant>
        <vt:i4>15</vt:i4>
      </vt:variant>
      <vt:variant>
        <vt:i4>0</vt:i4>
      </vt:variant>
      <vt:variant>
        <vt:i4>5</vt:i4>
      </vt:variant>
      <vt:variant>
        <vt:lpwstr>http://www.minfin.ru/ru/stabfund/about/</vt:lpwstr>
      </vt:variant>
      <vt:variant>
        <vt:lpwstr>_ftn6</vt:lpwstr>
      </vt:variant>
      <vt:variant>
        <vt:i4>3276816</vt:i4>
      </vt:variant>
      <vt:variant>
        <vt:i4>12</vt:i4>
      </vt:variant>
      <vt:variant>
        <vt:i4>0</vt:i4>
      </vt:variant>
      <vt:variant>
        <vt:i4>5</vt:i4>
      </vt:variant>
      <vt:variant>
        <vt:lpwstr>http://www.minfin.ru/ru/stabfund/about/</vt:lpwstr>
      </vt:variant>
      <vt:variant>
        <vt:lpwstr>_ftn5</vt:lpwstr>
      </vt:variant>
      <vt:variant>
        <vt:i4>3276816</vt:i4>
      </vt:variant>
      <vt:variant>
        <vt:i4>9</vt:i4>
      </vt:variant>
      <vt:variant>
        <vt:i4>0</vt:i4>
      </vt:variant>
      <vt:variant>
        <vt:i4>5</vt:i4>
      </vt:variant>
      <vt:variant>
        <vt:lpwstr>http://www.minfin.ru/ru/stabfund/about/</vt:lpwstr>
      </vt:variant>
      <vt:variant>
        <vt:lpwstr>_ftn4</vt:lpwstr>
      </vt:variant>
      <vt:variant>
        <vt:i4>3276816</vt:i4>
      </vt:variant>
      <vt:variant>
        <vt:i4>6</vt:i4>
      </vt:variant>
      <vt:variant>
        <vt:i4>0</vt:i4>
      </vt:variant>
      <vt:variant>
        <vt:i4>5</vt:i4>
      </vt:variant>
      <vt:variant>
        <vt:lpwstr>http://www.minfin.ru/ru/stabfund/about/</vt:lpwstr>
      </vt:variant>
      <vt:variant>
        <vt:lpwstr>_ftn3</vt:lpwstr>
      </vt:variant>
      <vt:variant>
        <vt:i4>3276816</vt:i4>
      </vt:variant>
      <vt:variant>
        <vt:i4>3</vt:i4>
      </vt:variant>
      <vt:variant>
        <vt:i4>0</vt:i4>
      </vt:variant>
      <vt:variant>
        <vt:i4>5</vt:i4>
      </vt:variant>
      <vt:variant>
        <vt:lpwstr>http://www.minfin.ru/ru/stabfund/about/</vt:lpwstr>
      </vt:variant>
      <vt:variant>
        <vt:lpwstr>_ftn2</vt:lpwstr>
      </vt:variant>
      <vt:variant>
        <vt:i4>3276816</vt:i4>
      </vt:variant>
      <vt:variant>
        <vt:i4>0</vt:i4>
      </vt:variant>
      <vt:variant>
        <vt:i4>0</vt:i4>
      </vt:variant>
      <vt:variant>
        <vt:i4>5</vt:i4>
      </vt:variant>
      <vt:variant>
        <vt:lpwstr>http://www.minfin.ru/ru/stabfund/about/</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Стабилизационном фонде РФ</dc:title>
  <dc:subject/>
  <dc:creator>User</dc:creator>
  <cp:keywords/>
  <dc:description/>
  <cp:lastModifiedBy>admin</cp:lastModifiedBy>
  <cp:revision>2</cp:revision>
  <cp:lastPrinted>2011-03-31T18:46:00Z</cp:lastPrinted>
  <dcterms:created xsi:type="dcterms:W3CDTF">2014-04-02T23:53:00Z</dcterms:created>
  <dcterms:modified xsi:type="dcterms:W3CDTF">2014-04-02T23:53:00Z</dcterms:modified>
</cp:coreProperties>
</file>