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2D" w:rsidRPr="00B56409" w:rsidRDefault="00775B2D" w:rsidP="00775B2D">
      <w:pPr>
        <w:spacing w:before="120"/>
        <w:jc w:val="center"/>
        <w:rPr>
          <w:b/>
          <w:bCs/>
          <w:sz w:val="28"/>
          <w:szCs w:val="28"/>
        </w:rPr>
      </w:pPr>
      <w:r w:rsidRPr="00B56409">
        <w:rPr>
          <w:b/>
          <w:bCs/>
          <w:sz w:val="28"/>
          <w:szCs w:val="28"/>
        </w:rPr>
        <w:t>О возможности построения русской грамматики смыслов</w:t>
      </w:r>
    </w:p>
    <w:p w:rsidR="00775B2D" w:rsidRPr="00B56409" w:rsidRDefault="00775B2D" w:rsidP="00775B2D">
      <w:pPr>
        <w:spacing w:before="120"/>
        <w:jc w:val="center"/>
        <w:rPr>
          <w:sz w:val="28"/>
          <w:szCs w:val="28"/>
        </w:rPr>
      </w:pPr>
      <w:r w:rsidRPr="00B56409">
        <w:rPr>
          <w:sz w:val="28"/>
          <w:szCs w:val="28"/>
        </w:rPr>
        <w:t>Ю. Л. Воротников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Мысль о том, что в основе каждого языка лежит иерархически упорядоченная система понятийных категорий и, более того, что при всем формальном многообразии существующих языков этот понятийный каркас для них един, в языкознании не нова. Она активно развивалась в рамках того идущего от философии рационализма направления грамматических исследований, которое получило название «логическая грамматика» и было реализовано в «Грамматике общей и рациональной Пор-Рояля» Антуана Арно и Клода Лансло.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Основные положения общей концепции, лежащей в основе этого труда, следующие: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1. Грамматика теснейшим образом связана с логикой. Грамматика призвана выражать логику, ибо она и основана на логике.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2. Язык расчленяется на два «слоя», или «уровня»: высший - логически упорядоченный, ясный и доступный разумному анализу (собственно, этот слой и есть сама мысль, которая выражается в языке); низший - слой языковых выражений, логически неупорядоченный («смутный»), противоречивый, управляемый лишь «обычаем», а зачастую и более того - подверженный моде и капризам вкуса отдельных людей (см., например, Степанов 1990; 29-43).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С этой точки зрения в основе всех языков лежит единое, общее для них мыслительное содержание, а формальное многообразие реально существующих способов выражения этого свойственного человеческой природе логического каркаса в достаточной степени случайно, несущественно и зачастую просто является досадной помехой для изложения «ясных» идей в картезианском понимании этого выражения.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Отсюда - и стремление упорядочить, «рационализировать» естественный язык, а еще лучше - отбросить его и заняться созданием рационального философского языка, как предлагал Декарт. В 1629 г. он излагает свой проект подобного языка в письме аббату Мерсену: «Изобретение такого языка зависит от истинной философии, ибо иначе невозможно исчислить все мысли людей, расположить их в порядке или хотя бы только различить их, так чтобы они предстали ясными и простыми» (письмо Декарта в переводе Ю. С. Степанова цитируется по (Степанов 1990; 37-38)).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Одна из наиболее известных попыток создания априорного аналитического языка была предпринята в середине XVII в. Джоном Уилкинсом. Он разделил все в мире на сорок категорий, или «родов», которые делились на «дифференции», а те - на «виды». Для каждого рода назначался слог из двух букв, для каждой дифференции - согласная, для каждого вида - гласная. Например, de в этом языке означает стихию, deb - первую из стихий, огонь; deba - часть огня, отдельное пламя (см., например, ЛЭС 1990; 196, а также Борхес 1989; 217).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Реакцией на такой логизирующий подход к языку, игнорирующий многообразие не только звукового выражения, но и состава содержательных единиц различных языков, была берущая свое начало в философии эмпиризма (или сенсуализма) концепция психологической грамматики, которая жертвовала элементами единства в содержании языков и конструировала для каждого из них свой тип особого «нелогического» содержания.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До своей крайности эта концепция была доведена в гипотезе лингвистической относительности Сепира-Уорфа, согласно которой люди членят мир, организуют его в понятия и распределяют значения так, а не иначе, поскольку являются участниками некоторого соглашения, имеющего силу лишь для данного языка. Уорф писал: «Сходные физические явления позволяют создать сходную картину вселенной только при сходстве или по крайней мере при соотносительности языковых систем» (см., например, Сепир 1934, Уорф 1960).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Гипотеза Сепира-Уорфа возникла в рамках этнолингвистики и воплотила в себе характерные особенности американского неогумбольдтианства. Однако сам В. Гумбольдт, выдвинувший понятие «внутренней формы языка», которое обычно истолковывается в духе характерного для психологической грамматики понятия о «гении народа», продолжал развивать идеи универсальной грамматики. Он находил, что наряду с идиоматическими элементами в содержании каждого языка имеются и элементы универсальные.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В. Гумбольдт различал грамматику идеальную, описывающую общую для всех языков систему логико-грамматических форм, и грамматику реальную, имеющую дело с конкретными языками. Реальная грамматика распадается на две части: общую и частную. Частная грамматика имеет целью проследить соотношение категорий данного языка с логическими категориями, общая грамматика должна показать, какие категории встречаются в языках мира, в какой степени логические категории идеальной грамматики преобразуются в отдельных языках и как все это влияет на меру расхождения отдельных языков (анализ концепции В. Гумбольдта см., например, в (Кацнельсон 1984)).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Однако решить задачу, выдвинутую Гумбольдтом, до сих пор не удалось ни в общем, ни в частном виде. Основная сложность ее решения сводится к следующему: каковы принципы выделения базовых смысловых категорий языка, представляют ли они собой замкнутое множество и, в конечном счете, являются ли они феноменами языковыми или философскими, логическими, психическими. Иными словами, не была разработана надежная методика логико-грамматического редукционизма, то есть перехода от внешних форм языка к тем стоящим за ними категориям, которые различные исследователи именовали философскими или логическими (в рациональных грамматиках 17-19 вв.), психологическими (в работах 19 -начала 20 в., например, у Г. Пауля), «онтологическими», «внеязыковыми», «когнитивными», «мыслительными», «речемыслительными» (например, в работах С. Д. Кацнельсона), понятийными (например, в работах О. Есперсена и И. И. Мещанинова) (см., например, ЛЭС 1990; 385).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Такой методики не дали ни семасиологический (от формы к содержанию), ни ономасиологический (от содержания к форме) подходы к анализу языка. Поэтому собственно лингвистическое описание смысловой структуры языка зачастую подменяется достаточно импрессионистическими рассуждениями на тему, каким образом в языке могут быть выражены такие, например, понятия, как «пространство» и «время» или «красота» и «вежливость».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Один из возможных путей преодоления этих сложностей предложен А. В. Бондарко. Его концепция «полевой» функциональной грамматики предполагает синтез описания языкового материала как «от формы к смыслу», так и «от смысла к форме». В результате такого комбинированного анализа исследователь получает сложное содержательно-формальное единство, планом содержания которого является семантическая категория. Эти единства получили наименование функционально-семантических полей (ФСП) (см.: Бондарко 1984; Бондарко 1998). Серия монографий «Теория функциональной грамматики», реализующая концепцию А. В. Бондарко, дала много ценных результатов. И все же можно вслед за В. С. Храковским повторить, что пока «проблема формирования ФСП ясна не во всех деталях» (Храковский 1985; 76).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Совершенно оригинальный путь описания смысловой структуры языка предложен Н. Ю. Шведовой в последних работах (Шведова, Белоусова 1995; Шведова 1998). По мысли Н. Ю. Шведовой русские местоимения представляют собой двойственную систему, объединяющую в своем составе 1) слова, сочетающие в себе функцию указания с обозначением одного из исходных, основообразующих понятий бытия, и 2) слова, модифицирующие и расчленяющие по ступеням познания те смыслы, которые заключены в местоимениях первой группы.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К словам, совмещающим функцию указания с функцией обозначения глобальных понятий бытия, относятся местоимения кто (существо одушевленное), что (предмет, все то, что обозначено языком через понятие предметности), какой (признак, открываемый или приписываемый, возникающий в течение или в результате процесса либо имманентно самовыявляющийся), каков и каково (признак сущностный), чей (принадлежность), как (способ или образ действия), сколько (количество), насколько, сколь (мера), который (признак по вычленяемости из множества), где (место), куда (направленное перемещение в пространстве с одного места на другое), откуда, отколе (направленное перемещение извне, из одного места на другое), докуда (предел), когда (время), доколе (предел временной), зачем (цель, предназначение), почему, отчего (причина), делать / сделать (любое действие или процессуальное состояние, непосредственно исходящее от субъекта), делаться / сделаться (любое действие или процессуальное состояние).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Ко второй группе относятся местоимения, модифицирующие смыслы, заключенные в словах первой группы, расчленяющие эти смыслы по трем ступеням познания: знание, за которым стоит уверенность в существовании, в истинности того, что познано; неполное, неуверенное знание (равное сомнению в существовании), и незнание (которое в сознании познающего приравнивается к несуществованию). </w:t>
      </w:r>
    </w:p>
    <w:p w:rsidR="00775B2D" w:rsidRDefault="00775B2D" w:rsidP="00775B2D">
      <w:pPr>
        <w:spacing w:before="120"/>
        <w:ind w:firstLine="567"/>
        <w:jc w:val="both"/>
      </w:pPr>
      <w:r w:rsidRPr="00B56409">
        <w:t xml:space="preserve">Соответственно выстраиваются триады местоимений, соотнесенные с тремя ступенями познания, например: </w:t>
      </w:r>
    </w:p>
    <w:tbl>
      <w:tblPr>
        <w:tblW w:w="9000" w:type="dxa"/>
        <w:tblCellSpacing w:w="7" w:type="dxa"/>
        <w:tblInd w:w="69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5"/>
        <w:gridCol w:w="2078"/>
        <w:gridCol w:w="2987"/>
        <w:gridCol w:w="1390"/>
      </w:tblGrid>
      <w:tr w:rsidR="00775B2D" w:rsidRPr="00B56409" w:rsidTr="00E56532">
        <w:trPr>
          <w:tblCellSpacing w:w="7" w:type="dxa"/>
        </w:trPr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Понятие (смысл)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знание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неполное знание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незнание</w:t>
            </w:r>
          </w:p>
        </w:tc>
      </w:tr>
      <w:tr w:rsidR="00775B2D" w:rsidRPr="00B56409" w:rsidTr="00E56532">
        <w:trPr>
          <w:tblCellSpacing w:w="7" w:type="dxa"/>
        </w:trPr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Кто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я, ты, он и др.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кто-то, некто и др.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никто</w:t>
            </w:r>
          </w:p>
        </w:tc>
      </w:tr>
      <w:tr w:rsidR="00775B2D" w:rsidRPr="00B56409" w:rsidTr="00E56532">
        <w:trPr>
          <w:tblCellSpacing w:w="7" w:type="dxa"/>
        </w:trPr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Где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тут, там и др.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где-то, кое-где и др.</w:t>
            </w:r>
          </w:p>
        </w:tc>
        <w:tc>
          <w:tcPr>
            <w:tcW w:w="0" w:type="auto"/>
            <w:vAlign w:val="center"/>
          </w:tcPr>
          <w:p w:rsidR="00775B2D" w:rsidRPr="00B56409" w:rsidRDefault="00775B2D" w:rsidP="00E56532">
            <w:r w:rsidRPr="00B56409">
              <w:t>нигде</w:t>
            </w:r>
          </w:p>
        </w:tc>
      </w:tr>
    </w:tbl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Двусторонность местоимения как слова, обозначающего, с одной стороны, понятие, с другой стороны, ту ступень, на которой находится соответствующее знание, придает этому слову качество смыслового исхода, на котором базируются смысловые категории языка.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Исходным смыслам подчинены и лексический состав языка, и его грамматика, морфемика, фразеология, строевые элементы текста и диалога. Лексика осуществляет первый шаг в формализации исходных смыслов и формировании языковых смысловых категорий.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Слова, стоящие в вершине лексического класса и его именующие, вместе с исходным местоимением дают именование общей языковой смысловой категории (напр.: где - место). Слова, именующие первые подвершинные ветви лексического древа, дают именование частным языковым смысловым категориям (напр.: чей - принадлежность - 1) свой - 2) общий - 3) чужой).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В системе исходных языковых смыслов присутствуют также в своих элементарных, как бы обнаженных формах все виды отношений, существующих в тексте.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Такова в общем виде концепция Н. Ю. Шведовой. Ее огромная значимость для современного языкознания очевидна. Это небольшое по своему объему исследование заключает в себе как бы в эмбриональном виде «Русскую грамматику смыслов». Следующим (а еще лучше - одновременным) шагом может быть начало работы над сопоставительными грамматиками смыслов.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Базой для таких сопоставительных описаний может стать подготовленный А. С. Белоусовой «Словарь местоимений», который дает полную картину современного состояния класса русских местоименных слов, тенденций их семантического развития и обширной фразеологии, опирающейся на них (Шведова, Белоусова 1995; 38-108).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А теперь несколько замечаний или, точнее, соображений, возникающих в связи с изложенным. Н. Ю. Шведова выделяет 20 общих смысловых категорий, смысловыми исходами которых являются 20 местоимений 1 группы (кто, что, какой и др., вплоть до делать/ся-сделать/ся). У приверженцев логической грамматики этот перечень вызвал бы, думается, сильное искушение продлить процедуру «смысловой редукции» и свести эти 20 категорий к меньшему числу более общих смыслов. Похоже, такое искушение не миновало и саму Н. Ю. Шведову. Например, она рассматривает три категории, связанные смыслом локализации: 1) «где - место», 2) «куда - направленное перемещение с одного места на другое» и 3) «откуда (устар. и высок. отколе) - перемещение изнутри вовне или из одного места в другое», а также говорит о таких максимально абстрагированных понятиях, как «одушевленное существо, действие или процессуальное состояние, предмет, признак, принадлежность, образ или способ действия, количество, мера, место, время, предел, цель, причина». Их 13 и они, без сомнения, являются более высокой степенью редукции 20-ти общих смысловых категорий, о которых речь шла выше.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Далее, Н. Ю. Шведова говорит: «Слово, стоящее в вершине лексического класса и его именующее, вместе с исходным местоимением дает именование общей языковой смысловой категории» (Шведова, Белоусова 1995; 18), напр.: где - место. Однако даже в группе категорий, связанных смыслом локализации, две остальные именуются достаточно сложно, их имена принадлежат не языку естественному, а пусть и приближенному к естественному, но все же метаязыку: «направленное перемещение из одного места в другое», «перемещение изнутри вовне или из одного места в другое». Столь же и даже более метаязыковые и имена ряда других общих категорий.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И еще одно соображение. Среди 20-ти общих смысловых категорий названа и категория «предел временной», исходом которой является местоимение доколе, в современном языке явно устаревшее, о чем свидетельствует и «Толковый словарь русского языка» С. И. Ожегова и Н. Ю. Шведовой (Ожегов, Шведова 1992; 174). Зададимся вопросом, для русского языка скорее гипотетическим, что произойдет со смысловой категорией «предел временной», если местоимение доколе совершенно выйдет из употребления? Или, в более общем виде, что происходит со смысловой категорией, когда в силу каких-либо обстоятельств в языке перестает существовать исходное местоимение?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В сопоставительном плане вопрос этот приобретает еще большую остроту. Известно, что в английском языке отсутствуют местоимения, эквивалентные русским куда и откуда. Можно ли говорить, что в нем отсутствуют и смысловые категории, на них опирающиеся? Или они занимают иное место в смысловой иерархии языка? А категории видимости - невидимости у местоимений хантыйского языка или абстрактности - конкретности у испанских местоимений - являются ли они общими смысловыми категориями только для этих языков или присутствуют в каком-то виде и на универсальном уровне?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Все эти частные вопросы сводятся к одному, отнюдь не частному и, к сожалению, трудно формулируемому. Суть его вот в чем: если мы говорим об общих смысловых категориях языка, то можем ли мы при их выделении и именовании полностью доверять самому языку? Иными словами, если в языке запечатлена, по терминологии Гегеля, «природная» или, в иных терминах, «донаучная», «житейская» форма мышления, то можно ли, оперируя категориями этого «природного» мышления, описать его самое? И не нуждается ли полученная в результате такого описания классификация глобальных понятий бытия в корректировке с помощью чисто логических процедур «семантической редукции», которая, правда, зачастую приводит нас к reductio ad absurdum.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Впрочем, как писал Хорхе Луис Борхес, «очевидно, не существует классификации мира, которая бы не была произвольной и проблематичной. Причина весьма проста: мы не знаем, что такое мир». Однако же добавляет: «Невозможность постигнуть божественную схему мира не может, однако, отбить у нас охоту создавать наши, человеческие схемы, хотя мы понимаем, что они временны» (Борхес 1989; 218). </w:t>
      </w:r>
    </w:p>
    <w:p w:rsidR="00775B2D" w:rsidRDefault="00775B2D" w:rsidP="00775B2D">
      <w:pPr>
        <w:spacing w:before="120"/>
        <w:ind w:firstLine="567"/>
        <w:jc w:val="both"/>
      </w:pPr>
      <w:r w:rsidRPr="00B56409">
        <w:t xml:space="preserve">Достаточно большое количество конструктивно-провоцирующих, если так можно выразиться, вопросов, возникающих после знакомства с концепцией Н. Ю. Шведовой, является неоспоримым свидетельством того, что это очень значительное явление в современном языкознании. Она представляет собой базу для нетрадиционного описания смысловой структуры различных языков, в том числе и в сопоставительном плане. Причем при таком подходе становится возможным сопоставлять различные языки не только на уровне отдельных лексических или грамматических лакун, но и на уровне запечатленной в них языковой картины мира, используя при этом чисто лингвистические приемы. </w:t>
      </w:r>
    </w:p>
    <w:p w:rsidR="00775B2D" w:rsidRPr="00B56409" w:rsidRDefault="00775B2D" w:rsidP="00775B2D">
      <w:pPr>
        <w:spacing w:before="120"/>
        <w:jc w:val="center"/>
        <w:rPr>
          <w:b/>
          <w:bCs/>
          <w:sz w:val="28"/>
          <w:szCs w:val="28"/>
        </w:rPr>
      </w:pPr>
      <w:r w:rsidRPr="00B56409">
        <w:rPr>
          <w:b/>
          <w:bCs/>
          <w:sz w:val="28"/>
          <w:szCs w:val="28"/>
        </w:rPr>
        <w:t>Список литературы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Бондарко А. В. (1984), Функциональная грамматика. Л.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Бондарко А. В. (1998), Функциональная модель грамматики (теоретические основы, итоги и перспективы), Язык и речевая деятельность. Т. 1.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Борхес Х.Л.(1989), Аналитический язык Джона Уилкинса, Проза разных лет. М.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Кацнельсон С. Д. (1984), Содержательно-типологическая концепция Вильгельма Гумбольдта, Понимание историзма и развития в языкознании первой половины XIX в. Л.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ЛЭС (1990), Лингвистический энциклопедический словарь. М.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 xml:space="preserve">Ожегов С. И., Шведова Н. Ю. (1992), Толковый словарь русского языка. М. 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Сепир Э. (1934). Язык. Перев. с англ. М.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Степанов Ю. С. (1990), Пор-Рояль в европейской культуре, Грамматика общая и рациональная Пор-Рояля. М.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Уорф Б. Л. (1960), Отношение норм поведения и мышления к языку, Новое в лингвистике. Вып. 1. М.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Храковский В. С.(1985), Типы грамматических описаний и некоторые особенности функциональной грамматики, Проблемы функциональной грамматики. М.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Шведова Н. Ю., Белоусова А. С. (1995), Система местоимений как исход смыслового строения языка и его смысловых категорий. М.</w:t>
      </w:r>
    </w:p>
    <w:p w:rsidR="00775B2D" w:rsidRPr="00B56409" w:rsidRDefault="00775B2D" w:rsidP="00775B2D">
      <w:pPr>
        <w:spacing w:before="120"/>
        <w:ind w:firstLine="567"/>
        <w:jc w:val="both"/>
      </w:pPr>
      <w:r w:rsidRPr="00B56409">
        <w:t>Шведова Н. Ю. (1998), Местоимение и смысл. Класс русских местоимений и открываемые ими смысловые пространства. М.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B2D"/>
    <w:rsid w:val="004B1CE3"/>
    <w:rsid w:val="006B11B3"/>
    <w:rsid w:val="00715E9E"/>
    <w:rsid w:val="00775B2D"/>
    <w:rsid w:val="00B56409"/>
    <w:rsid w:val="00BB0B07"/>
    <w:rsid w:val="00C66C32"/>
    <w:rsid w:val="00E56532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6CF493-FC40-4F33-B628-849D7B9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возможности построения русской грамматики смыслов</vt:lpstr>
    </vt:vector>
  </TitlesOfParts>
  <Company>Home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возможности построения русской грамматики смыслов</dc:title>
  <dc:subject/>
  <dc:creator>User</dc:creator>
  <cp:keywords/>
  <dc:description/>
  <cp:lastModifiedBy>admin</cp:lastModifiedBy>
  <cp:revision>2</cp:revision>
  <dcterms:created xsi:type="dcterms:W3CDTF">2014-02-14T15:14:00Z</dcterms:created>
  <dcterms:modified xsi:type="dcterms:W3CDTF">2014-02-14T15:14:00Z</dcterms:modified>
</cp:coreProperties>
</file>