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FB" w:rsidRPr="00C3337F" w:rsidRDefault="009950FB" w:rsidP="009950FB">
      <w:pPr>
        <w:spacing w:before="120"/>
        <w:jc w:val="center"/>
        <w:rPr>
          <w:b/>
          <w:bCs/>
          <w:sz w:val="32"/>
          <w:szCs w:val="32"/>
        </w:rPr>
      </w:pPr>
      <w:r w:rsidRPr="00C3337F">
        <w:rPr>
          <w:b/>
          <w:bCs/>
          <w:sz w:val="32"/>
          <w:szCs w:val="32"/>
        </w:rPr>
        <w:t xml:space="preserve">Обеспечение безопасности при производстве, хранение и применение взрывчатых материалов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По действующему законодательству государственный пожарный надзор при производстве, транспортировке, хранении, использовании и утилизации взрывчатых материалов в организациях, ведущих взрывные работы с использованием взрывчатых веществ промышленного назначения, осуществляет федеральный орган исполнительной власти, уполномоченный в области промышленной безопасности (Федеральная служба по экологическому технологическому и атомному надзору - Ростехнадзор).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Здесь уместно отметить, что ранее в федеральном законе “О пожарной безопасности” содержалось более скромное требование, согласно которому Госгортехнадзор России осуществляет государственный пожарный надзор при проведении взрывных работ. В 2004 году законодатель расширил полномочия Госгортехнадзора России (ныне Ростехнадзора) по контролю за обеспечением пожарной безопасности всего цикла работ, связанных с производством взрывчатых веществ. </w:t>
      </w:r>
    </w:p>
    <w:p w:rsidR="009950FB" w:rsidRPr="00C3337F" w:rsidRDefault="009950FB" w:rsidP="009950FB">
      <w:pPr>
        <w:spacing w:before="120"/>
        <w:jc w:val="center"/>
        <w:rPr>
          <w:b/>
          <w:bCs/>
          <w:sz w:val="28"/>
          <w:szCs w:val="28"/>
        </w:rPr>
      </w:pPr>
      <w:r w:rsidRPr="00C3337F">
        <w:rPr>
          <w:b/>
          <w:bCs/>
          <w:sz w:val="28"/>
          <w:szCs w:val="28"/>
        </w:rPr>
        <w:t xml:space="preserve">Организационные и практические меры по обеспечению безопасности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На всех крупных горных предприятиях построены пункты по производству гранулированных взрывчатых веществ или приготовления эмульсий для эмульсионных взрывчатых веществ, приобретающих детонационные свойства только после заряжания ими скважин и шпуров. При этом для производства эмульсий практически везде используются отечественные компоненты, включая эмульгаторы и газогенерирующие добавки. Созданы и выпускаются соответствующие транспортно-зарядные машины.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Ростехнадзором в 2006 году приняты практические меры по резкому ограничению применения при взрывных работах средств огневого взрывания (которые наиболее доступны для использования в криминальных и террористических целях) с возрастанием доли применения других, более безопасных систем инициирования зарядов, в том числе неэлектрических систем взрывания и высокочастотных электродетонаторов, нечувствительных к бытовым источникам тока. Фактически с 01.01.07 г. средства огневого (электроогневого) способа инициирования зарядов применяются только при некоторых видах специальных взрывных работ (дробление горячих массивов, ликвидация ледяных заторов, борьба с лесными пожарами и т.п.), то есть в случаях, когда огневое взрывание невозможно либо технически крайне сложно заменить на другие способы инициирования зарядов. Для горных предприятий Крайнего Севера, связанных с сезонной поставкой взрывчатых материалов, разрешается до 1 сентября 2007 года израсходовать по назначению при взрывных работах ранее приобретенные и хранящиеся на складах ВМ средства огневого (электроогневого) взрывания.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При этом увеличивается применение других, более безопасных систем инициирования зарядов, в том числе неэлектрических систем взрывания и высокочастотных электродетонаторов, нечувствительных к бытовым источникам тока.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Номенклатура промышленных взрывчатых материалов составляет около 300 наименований, не считая взрывчатые вещества и изделия на их основе зарубежного производства и находящиеся в стадии промышленных испытаний. В последние годы в Российской Федерации наблюдается рост объемов потребления взрывчатых материалов промышленного назначения. Анализ показывает, что эта тенденция в ближайшее время сохранится, причем значительных изменений применяемых взрывчатых материалов не произойдет.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Вместе с тем значительно уменьшен объем использования наиболее опасного огневого способа инициирования зарядов (рис. 9).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целях повышения защиты населения и окружающей среды от возможного негативного воздействия объектов производства, хранения, транспортирования и применения взрывчатых материалов при поддержке Ростехнадзора в организациях и на предприятиях продолжалась работа по совершенствованию техники и технологии взрывных работ.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Увеличены объемы потребления при взрывных работах на земной поверхности и подземных выработках российских неэлектрических систем инициирования зарядов СИНВ и “Эдилин”, шведской системы “Нонель” и на ряде горных предприятий используется неэлектрическая система инициирования “Примадет” (испанская технология и отечественная сборка).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Увеличены объемы применения электродетонаторов пониженной чувствительности к блуждающим токам, высокочастотных электродетонаторов, которые невозможно инициировать от любых бытовых источников тока, также за счет замены при взрывных работах наиболее опасного огневого взрывания и постепенного вытеснения традиционных, но устаревших средств взрывания электродетонаторов с безопасным током 0,18 А и детонирующих шнуров с пиротехническими реле.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Вместе с тем существовавший на заводах-изготовителях способ маркировки корпусов кумулятивных зарядов с использованием бумажных этикеток крайне ненадежен и не позволял вести надлежащий учет указанных нумерованных изделий на складах взрывчатых материалов перед выдачей их взрывникам и при подготовке к взрывным работам.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этой связи для обеспечения сохранности взрывчатых материалов на объектах взрывных работ нефтяной и газовой промышленности Российской Федерации, а также в соответствии с п. 2.8 совместного приказа МВД России, ФСБ России, Минобороны России, Минюста России, Минпромэнерго России, Ростехнадзора, ФТС России и Генеральной прокуратуры Российской Федерации от 17.10.06 № 826/493/424/314/266/910/ 1009/39 “Об утверждении Межведомственного комплексного плана мероприятий по борьбе с незаконным оборотом оружия, боеприпасов и взрывчатых веществ на 2006-2010 годы” Ростехнадзором издан приказ от 30.10.06 № 969 “О маркировке кумулятивных зарядов для прострелочно-взрывных работ”. Данным приказом определяется порядок маркировки кумулятивных зарядов для прострелочно-взрывной аппаратуры, нанесенной лазером или другим механическим способом, исключающим ее удаление без нанесения повреждения изделию. Кроме того, имеющиеся запасы зарядов, маркированных устаревшими способами, должны быть своевременно израсходованы, а разработчикам и производителям кумулятивных зарядов предписывается внести в установленном порядке в технические условия на изделия изменения, связанные с нанесением маркировки.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Настоящий приказ устанавливает порядок маркирования кумулятивных зарядов для прострелочно-взрывной аппаратуры и направлен на обеспечение сохранности взрывчатых материалов на объектах взрывных работ нефтяной и газовой промышленности Российской Федерации в рамках выполнения мероприятий по антитеррористической и противокриминальной защите. В частности, введение в действие настоящего приказа позволит обеспечить идентификацию кумулятивных зарядов на всех стадиях их оборота.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Все крупные горнодобывающие предприятия (ОАО “Апатит”, ОАО “Лебединский ГОК”, ОАО “Кольская ГМК”, ОАО “Ковдорский ГОК”, ОАО “Качканарский ГОК “Ванадий”, ОАО “Карельский окатыш”, ОАО “Михайловский ГОК”, угольные разрезы “Нерюнгринский”, “Междуреченский”, “Бачатский” и др.) практически полностью обеспечивают потребности во взрывчатых веществах за счет их производства на стационарных пунктах, мини-заводах и в передвижных установках. В дальнейшем тенденция увеличения объема потребления таких взрывчатых веществ сохранится. В частности, в филиале “Разрез Мугунский” ООО “Компания Востсибуголь” ОАО “СУЭК” сдан в эксплуатацию стационарный пункт по изготовлению гранулита Д-5, кроме того, ОАО “СУЭК” разработало график замены смесительно-зарядных машин, предусматривающих обновление всего парка в период с 2006 по 2008 год. Филиалом ОАО “Коршуновский ГОК” (Иркутское межрегиональное УТЭН) запланировано строительство трех стационарных установок по производству эмульсионных ВВ на Коршуновском, Рудногорском и Краснояровском карьерах, а также обновление и увеличение парка смесительно-зарядных машин.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ОАО “Оренбургские минералы”, г. Ясный (Оренбургская область), начато строительство завода по производству эмульсионного взрывчатого вещества “Сибирит”, а в ООО “Святогор” (Свердловская область) ведется строительство стационарного пункта по изготовлению эмульсионного ВВ “Титан”. В Республике Саха (Якутия) артелью старателей “Селигдар” реализованы мероприятия по изготовлению взрывчатых веществ из невзрывчатых компонентов вблизи мест производства взрывных работ, введен в эксплуатацию стационарный пункт производства гранулированных взрывчатых веществ в ОАО “Взрывстрой”.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На стационарных пунктах участка “Купол” ЗАО “Чукотская горно-геологическая компания” для изготовления взрывчатого вещества гранулит “игданит” стали применяться установки “ANFO Mixer Amix 25” фирмы “Dyno Nobel” (Швеция).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Здесь же для пневмозаряжания шпуров и скважин взрывчатым веществом гранулит “игданит” стали использоваться зарядные устройства “Анолодер” модели GSA (США) и “120R” (Канада).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Продолжались разработка и внедрение новых эмульсионных взрывчатых веществ, включая патронированные. Проводились промышленные испытания эмульсионного взрывчатого вещества гранэмит марки П-1-25-К в полимерной оболочке в качестве скважинного заряда при производстве массовых взрывов на карьерах и разрезах Кемеровской области, эмульсионного взрывчатого вещества эмульпор “НП” марок НП-40, НП-50 и НП-60, изготавливаемого в смесительно-зарядной машине МЗГ-10 в процессе заряжания скважин в карьерах ОАО “Ураласбест”, эмульсионного взрывчатого вещества порэмит марки П-1-ЗС в полимерной оболочке (ФКП “Завод им. Я.М.Свердлова”) для использования в качестве скважинных зарядов при производстве взрывных работ ООО “Евровзрывпром” в карьерах Ленинградской области.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Допущены к постоянному применению смесительно-зарядные машины “ТТТ” на транспортной базе автомобилей “Piterbolt” фирмы “Dyno Nobel” (Швеция) для транспортирования компонентов и изготовления эмульсионных взрывчатых веществ эмуланов марки “иремекс” в процессе заряжания скважин при взрывных работах в карьерах Айхальского ГОКа АК “АЛ РОСА”.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Внедрены и используются в горнодобывающих организациях смесительно-зарядные машины отечественного производства ОАО “Белгородский завод горного машиностроения” и ФГУП “Красноармейский научно-исследовательский институт механизации”, предназначенные для транспортирования компонентов, изготовления взрывчатых веществ гранэмит марки И-30, граммонит-АП, гранулит “игданит”, “Сибирит-1000”, “Сибирит-1200” и заряжания ими скважин при производстве взрывных работ в карьерах и разрезах.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2006 году проводились испытания смесительно-зарядных машин АСЗС-6841 “IEE” на базе автомобиля КамАЗ 65201 для транспортирования невзрывчатых компонентов и изготовления в процессе заряжания скважин эмульсионных промышленных взрывчатых веществ — эмулитов марок “ВЭТ” в условиях открытых горных работ рудника “Железный” ОАО “Ковдорский ГОК”, смесительно-зарядных машин “Трейдстар-ВГ” модели АСЗС6840 на транспортной базе автомобилей КамАЗ 6540-1010-10, предназначенных для изготовления водно-гелевого взрывчатого вещества “Риофлекс” в процессе заряжания скважин в каменном карьере ООО “Назаровский щебеночный завод” и в карьере филиала “Ачинский” (Красноярский край).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Кроме того, в условиях ОАО “Когалымнефтегеофизика” на территории Ханты-Мансийского АО-Югра испытывались “Лаборатории перфораторных станций” (ЛПС) на базе автомобиля КамАЗ-43114, КамАЗ-571830 и на базе автомобиля КамАЗ-4326, предназначенные для совместной перевозки средств инициирования и взрывчатых веществ, а также для доставки прострелочно-взрывной аппаратуры и персонала к местам проведения работ.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Численность исполнителей взрывных работ по отношению к 2006 году изменилась незначительно и составила 11,2 тыс. чел. (в 2005 году — 10,6 тыс. чел.). Всего к обращению со взрывчатыми материалами имели допуск 49,4 тыс. работников (в 2005 году — 50,1 тыс. чел.). </w:t>
      </w:r>
    </w:p>
    <w:p w:rsidR="009950FB" w:rsidRPr="00C3337F" w:rsidRDefault="009950FB" w:rsidP="009950FB">
      <w:pPr>
        <w:spacing w:before="120"/>
        <w:jc w:val="center"/>
        <w:rPr>
          <w:b/>
          <w:bCs/>
          <w:sz w:val="28"/>
          <w:szCs w:val="28"/>
        </w:rPr>
      </w:pPr>
      <w:r w:rsidRPr="00C3337F">
        <w:rPr>
          <w:b/>
          <w:bCs/>
          <w:sz w:val="28"/>
          <w:szCs w:val="28"/>
        </w:rPr>
        <w:t xml:space="preserve">Состояние сохранности взрывчатых материалов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2006 году по отношению к предыдущему году положение дел с обеспечением сохранности взрывчатых материалов удалось несколько улучшить. Общее число утрат ВМ уменьшилось с 21 случаев до 20, в том числе количество хищений взрывчатых веществ и средств инициирования — на 15 % (с 13 до 11 случаев). Необходимо отметить, что в указанное число утрат вошли зарегистрированные случаи добровольной сдачи взрывчатых материалов гражданами в органы внутренних дел, которые условно отнесены к хищениям.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При этом количество утраченных взрывчатых веществ уменьшилось с 86 334,2 до 2441,63 кг, а электродетонаторов и капсюлей-детонаторов — с 1351 шт. до 952, но количество утраченных детонирующих и огнепроводных шнуров увеличилось с 698,4 до 4266,6 м.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Так, в январе 2006 года при полной безответственности взрывперсонала и лиц технического надзора ОАО “ГМК Дальполиметалл” (Приморский край) на руднике обнаружена вскрытая пачка аммонита 6ЖВ массой 1,4 кг и 3 электродетонатора ЭД-8Ж. Данные взрывчатые материалы были оставлены взрывником в горной выработке, о которых он по окончании рабочей смены забыл, а взрывные приборы и наряд-путевку в нарушение установленных требований на склад ВМ сдавал горный мастер.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отдельных организациях не обеспечивается должным образом охрана заряженных скважин. В начале апреля 2006 года хищение 4 шашек ГТП-85Г-К и электродетонатора ЭДС-1 из скважин, заряженных работниками геологической партии ОАО “Сибнефть-Ноябрьскнефтегазгеофизика” на профиле № 1 Западно-Байкаловской площади (Тюменская область), совершили рабочие топоотряда ООО “ФГео-Консалтинг”, которые, занимаясь валкой леса на соседних профилях, по окончании работы выходили на дорогу по заряженному профилю № 1. Скважины на данном профиле были заряжены 27.03.06 г., и взрывчатые материалы в них находились без охраны более 5 суток. Из-за некачественной забойки скважины рабочим удалось извлечь взрывчатые материалы и спрятать их в кузове автомобиля. На следующий день водитель при разгрузке запасных частей обнаружил похищенные ВМ и сообщил об этом начальнику отряда.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Однако самая большая потеря взрывчатых веществ допущена ОАО “Сосновгео” в Республике Бурятия в июле 2006 года. При транспортировке взрывчатых материалов через реку в брод автомобиль получил неисправность и остановился. В связи с обильными дождями уровень реки поднялся и водным потоком автомобиль был опрокинут, при этом было утрачено более 1142 кг взрывчатых веществ, 676 электродетонаторов, 480 м детонирующего шнура.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Техническими расследованиями установлено, что основными причинами утрат взрывчатых материалов являются: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низкий уровень производственного контроля в организациях за соблюдением правил учета, хранения и использования ВМ на местах работ;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халатное отношение к обеспечению сохранности полученных ВМ взрывников и лиц технического надзора;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нарушение требований нормативных технических документов при перевозке взрывчатых материалов автомобильным транспортом;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формальное подтверждение фактического расхода ВМ по назначению руководителями взрывных работ при отсутствии такового;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отсутствие надлежащей охраны заряженных скважин на блоках и профилях, а также скважин с отказавшими зарядами.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2006 году, как и в прошлые годы, абсолютное большинство хищений взрывчатых материалов (9 из 11) было совершено с мест производства взрывных работ (5 хищений — в подземных горных выработках, 6 — на открытых горных работах) и выявлены (также 9 из 11) при их незаконных хранении, перевозках, купле-продаже.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Как и в предыдущем году, хищения в основном совершены лицами, связанными по роду своей деятельности с обращением со взрывчатыми материалами или имевшими к ним доступ.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целом причины утрат взрывчатых материалов весьма близки к причинам аварий и травматизма при взрывных работах и обращении с ВМ.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2006 году утраты взрывчатых материалов произошли в организациях всех отраслей промышленности.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Остается низким уровень обеспечения сохранности взрывчатых материалов на предприятиях по добыче руд цветных металлов, на которых в 2006 году выявлены 6 утрат ВМ, в том числе 1 хищение (в 2005 году — 3 хищения).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Удалось несколько повысить уровень сохранности взрывчатых материалов на угледобывающих предприятиях. В прошедшем году на предприятиях угольной промышленности зарегистрированы 3 случая утрат: 2 хищения и 1 потеря. В 2005 году на угледобывающих предприятиях было зарегистрировано 6 случаев утрат, в том числе 5 хищений и 1 разбрасывание (рис. 10). </w:t>
      </w:r>
    </w:p>
    <w:p w:rsidR="009950FB" w:rsidRPr="00C3337F" w:rsidRDefault="009950FB" w:rsidP="009950FB">
      <w:pPr>
        <w:spacing w:before="120"/>
        <w:jc w:val="center"/>
        <w:rPr>
          <w:b/>
          <w:bCs/>
          <w:sz w:val="28"/>
          <w:szCs w:val="28"/>
        </w:rPr>
      </w:pPr>
      <w:r w:rsidRPr="00C3337F">
        <w:rPr>
          <w:b/>
          <w:bCs/>
          <w:sz w:val="28"/>
          <w:szCs w:val="28"/>
        </w:rPr>
        <w:t xml:space="preserve">Состояние травматизма при работе с взрывчатыми материалами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2006 году на поднадзорных Федеральной службе по экологическому, технологическому и атомному надзору предприятиях и в организациях смертельно травмировалось при взрывных работах и обращении со взрывчатыми материалами 10 человек, общая численность травмированных увеличилась до 28 человек, произошло две аварии. Суммарный материальный ущерб от аварий составил 11 520 тыс. руб.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Как и в предыдущие годы, большинство погибших при взрывных работах составили непосредственные исполнители взрывных работ (4 погибших взрывника и раздатчика подземного склада ВМ) и другие рабочие рудников, шахт и карьеров (2 подземных работника и 4 рабочих на открытых разработках).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2006 году половина несчастных случаев со смертельным исходом произошла в подземных выработках рудников и шахт (50 % погибших и 61 % всех пострадавших, из них 4 человека погибли при взрывах в выработках подземных складов взрывчатых материалов).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Анализ обстоятельств и причин аварий и несчастных случаев при взрывных работах, выполненный при изучении полученных материалов специальных расследований, дает основания для вывода о том, что все они имели место из-за халатного отношения к своим должностным обязанностям руководителей предприятий, безответственности лиц технического надзора и, как следствие этого, снижения технологической дисциплины взрывперсонала, бесконтрольности работы взрывников и горнорабочих, несоблюдения ими требований безопасности при производстве взрывных работ.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К непосредственным причинам всех аварий и несчастных случаев при взрывных работах в 2006 году можно отнести: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– нарушения требований безопасности по расстановке и снятию постов охраны границ опасной зоны и вывода людей за ее пределы перед началом взрывных работ;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– нарушения установленного порядка возврата на склад ВМ остатков взрывчатых материалов, а также требований безопасности при уничтожении взрывчатых материалов и взрывоопасных предметов;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– нарушения установленных требований по осмотру мест взрывных работ перед началом заряжания и приведению их в безопасное состояние, а также проверке забоев после взрывных работ и допуску в них рабочих для дальнейшей работы;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– нарушение требований безопасности при выдаче взрывчатых веществ и средств инициирования на складах ВМ в работу взрывникам и их совместной переноске к местам взрывных работ.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Все перечисленные причины в значительной мере между собой взаимосвязаны и в различной степени выявлялись при расследовании обстоятельств практически всех имевших место в прошедшем году несчастных случаев.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соответствии с Федеральным законом “О промышленной безопасности опасных производственных объектов” в поднадзорных Ростехнадзору организациях разработаны декларации промышленной безопасности около 350 складов взрывчатых материалов и других опасных производственных объектов. В 2006 году Управлением по надзору за специальными и химически опасными производствами и объектами Ростехнадзора рассмотрены и утверждены заключения по 43 декларациям промышленной безопасности опасных производственных объектов, из них 11 разработаны впервые, 28 — повторно, 4 — по третьему разу.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Проведено страхование ответственности за причинение вреда действующих опасных производственных объектов в области взрывчатых материалов промышленного назначения.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Во всех организациях действует система производственного контроля, работа которой проверяется при каждых обследованиях поднадзорных объектов. Проведенный анализ состояния промышленной безопасности на опасных производственных объектах показал, что эффективность и действенность производственного контроля наблюдается только в крупных организациях, имеющих соответствующие производственные службы и квалифицированных специалистов в области промышленной безопасности. Территориальные органы систематически проводят работу по анализу сведений об организации и осуществлении производственного контроля, поступающих от поднадзорных организаций. Факты низкой эффективности производственного контроля и системы управления промышленной безопасностью отражаются в предписаниях и рассматриваются на заседаниях коллегий управлений по технологическому и экологическому надзору.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До настоящего времени не удалось заметно повысить качество взрывчатых веществ. На горных предприятиях, изготавливающих простейшие гранулированные аммиачно-селитренные взрывчатые вещества (как на стационарных пунктах, так и в передвижных установках), необходимый контроль качества не организован, отсутствуют лаборатории и соответствующие специалисты. От заводов-изготовителей также продолжают поступать взрывчатые материалы, не соответствующие требованиям стандартов и технических условий, что, несмотря на наличие входного контроля, приводит к многочисленным отказавшим зарядам, влекущим за собой аварии, травматизм, простои, хищения взрывчатых материалов из отказов. Как показывает анализ, около 50 % отказов так или иначе связано с недостаточно высоким качеством взрывчатых материалов. Ежегодно выявляется не менее 10 случаев поставок взрывчатых материалов с нарушениями установленных требований. </w:t>
      </w:r>
    </w:p>
    <w:p w:rsidR="009950FB" w:rsidRPr="00C3337F" w:rsidRDefault="009950FB" w:rsidP="009950FB">
      <w:pPr>
        <w:spacing w:before="120"/>
        <w:jc w:val="center"/>
        <w:rPr>
          <w:b/>
          <w:bCs/>
          <w:sz w:val="28"/>
          <w:szCs w:val="28"/>
        </w:rPr>
      </w:pPr>
      <w:r w:rsidRPr="00C3337F">
        <w:rPr>
          <w:b/>
          <w:bCs/>
          <w:sz w:val="28"/>
          <w:szCs w:val="28"/>
        </w:rPr>
        <w:t xml:space="preserve">Безопасность перевозки взрывчатых материалов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До настоящего времени не решена проблема безопасности перевозок взрывчатых материалов автомобильным транспортом. По-прежнему к перевозке допускаются автомобили, не предназначенные для таких целей, включая самосвалы. Значительная часть автомобилей, которые систематически используются для перевозки взрывчатых материалов, в том числе по дорогам общего пользования, не отвечают требованиям Правил перевозки опасных грузов автомобильным транспортом (ПОГАТ) и Европейскому соглашению о международной дорожной перевозке опасных грузов (ДОПОГ).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Анализ аварий и несчастных случаев при взрывных работах на горнодобывающих предприятиях показывает, что зачастую их причинами являются низкая квалификация взрывперсонала, прежде всего лиц технического надзора младшего и среднего звена, и его постоянная текучесть. В настоящее время на горнодобывающих предприятиях производится более половины потребляемых взрывчатых веществ. Однако до сих пор не решен вопрос подготовки в высших и средних профессиональных учебных заведениях специалистов-технологов для стационарных пунктов и заводов, изготавливающих взрывчатые вещества вблизи мест применения.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Особую тревогу вызывает состояние автомобильного транспорта для перевозки взрывчатых материалов. Несмотря на происшедшие в 2004-2006 годах аварии и утраты взрывчатых материалов, связанные с автомобильными перевозками, по-прежнему часть перевозок взрывчатых материалов осуществляется на автомобилях, не отвечающих установленным требованиям безопасности.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Компетенция Ростехнадзора в сфере взрывчатых материалов промышленного назначения постоянно расширяется. На Ростехнадзор дополнительно возложены функции и задачи по государственному пожарному надзору на подземных объектах и при производстве, транспортировке, хранении, использовании и утилизации взрывчатых материалов в организациях, ведущих взрывные работы с использованием взрывчатых материалов промышленного назначения.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Кроме того, в настоящее время в компетенцию Ростехнадзора переведены все взрывопожароопасные производственные объекты специализированных предприятий по производству взрывчатых веществ и изделий, их содержащих, промышленного назначения, порохов и пиротехнических изделий Федерального агентства по промышленности, а также базы и арсеналы Минобороны России, на которых изготавливаются взрывчатые вещества и изделия из них промышленного назначения в рамках утилизации боеприпасов и твердого ракетного топлива.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целях реализации законодательства Российской Федерации в области пожарной безопасности Ростехнадзором подготовлен проект постановления Правительства Российской Федерации “О внесении изменений в постановление Правительства Российской Федерации от 30 июля 2004 г. № 401 “О Федеральной службе по экологическому, технологическому и атомному надзору”, предусматривающий в том числе и увеличение предельной численности работников центрального аппарата Федеральной службы по экологическому, технологическому и атомному надзору и в основном ее территориальных органов.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2006 году территориальными органами по технологическому и экологическому надзору с учетом указаний Ростехнадзора от 11.07.06 № НК-48/589 взяты под государственный надзор и контроль все опасные производственные объекты на заводах — изготовителях промышленных взрывчатых веществ и средств инициирования.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В числе первоочередных организационно-распорядительных документов планируется разработать руководящий документ “Методические указания по проведению проверок объектов, связанных с производством взрывчатых материалов”. В области создания и совершенствования законодательной базы Управление по надзору за специальными и химически опасными производствами и объектами в 2007 году планирует принять участие: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– в дальнейшей работе над проектами специальных технических регламентов “О безопасности взрывчатых веществ и боеприпасов, процессов их производства, применения, хранения, перевозки, реализации и утилизации” и “О безопасности пиротехнических составов и содержащих их изделий, процессов их производства, применения, хранения, перевозки, реализации и утилизации”, а также национальных стандартов по безопасности производства, хранения и применения взрывчатых материалов промышленного назначения; </w:t>
      </w:r>
    </w:p>
    <w:p w:rsidR="009950FB" w:rsidRPr="00257E70" w:rsidRDefault="009950FB" w:rsidP="009950FB">
      <w:pPr>
        <w:spacing w:before="120"/>
        <w:ind w:firstLine="567"/>
        <w:jc w:val="both"/>
      </w:pPr>
      <w:r w:rsidRPr="00257E70">
        <w:t xml:space="preserve">– в доработке законопроектов, регламентирующих порядок оборота взрывчатых материалов.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0FB"/>
    <w:rsid w:val="00051FB8"/>
    <w:rsid w:val="00095BA6"/>
    <w:rsid w:val="00210DB3"/>
    <w:rsid w:val="00257E70"/>
    <w:rsid w:val="00267451"/>
    <w:rsid w:val="0031418A"/>
    <w:rsid w:val="00350B15"/>
    <w:rsid w:val="00377A3D"/>
    <w:rsid w:val="0052086C"/>
    <w:rsid w:val="00573721"/>
    <w:rsid w:val="005A2562"/>
    <w:rsid w:val="005B3906"/>
    <w:rsid w:val="00755964"/>
    <w:rsid w:val="008C19D7"/>
    <w:rsid w:val="009950FB"/>
    <w:rsid w:val="00A44D32"/>
    <w:rsid w:val="00C3337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5D57A8-2226-49E3-8C23-E7C9874C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0F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5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3780</Words>
  <Characters>21551</Characters>
  <Application>Microsoft Office Word</Application>
  <DocSecurity>0</DocSecurity>
  <Lines>179</Lines>
  <Paragraphs>50</Paragraphs>
  <ScaleCrop>false</ScaleCrop>
  <Company>Home</Company>
  <LinksUpToDate>false</LinksUpToDate>
  <CharactersWithSpaces>25281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безопасности при производстве, хранение и применение взрывчатых материалов </dc:title>
  <dc:subject/>
  <dc:creator>Alena</dc:creator>
  <cp:keywords/>
  <dc:description/>
  <cp:lastModifiedBy>admin</cp:lastModifiedBy>
  <cp:revision>2</cp:revision>
  <dcterms:created xsi:type="dcterms:W3CDTF">2014-02-19T21:52:00Z</dcterms:created>
  <dcterms:modified xsi:type="dcterms:W3CDTF">2014-02-19T21:52:00Z</dcterms:modified>
</cp:coreProperties>
</file>