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CA" w:rsidRPr="005109B5" w:rsidRDefault="002601CA" w:rsidP="005109B5">
      <w:pPr>
        <w:pStyle w:val="aff0"/>
      </w:pPr>
      <w:r w:rsidRPr="005109B5">
        <w:t>Министерство образования Российской Федерации</w:t>
      </w:r>
    </w:p>
    <w:p w:rsidR="002601CA" w:rsidRPr="005109B5" w:rsidRDefault="002601CA" w:rsidP="005109B5">
      <w:pPr>
        <w:pStyle w:val="aff0"/>
      </w:pPr>
      <w:r w:rsidRPr="005109B5">
        <w:t>Пензенский Государственный Университет</w:t>
      </w:r>
    </w:p>
    <w:p w:rsidR="005109B5" w:rsidRPr="005109B5" w:rsidRDefault="002601CA" w:rsidP="005109B5">
      <w:pPr>
        <w:pStyle w:val="aff0"/>
      </w:pPr>
      <w:r w:rsidRPr="005109B5">
        <w:t>Медицинский Институт</w:t>
      </w:r>
    </w:p>
    <w:p w:rsidR="005109B5" w:rsidRPr="005109B5" w:rsidRDefault="002601CA" w:rsidP="005109B5">
      <w:pPr>
        <w:pStyle w:val="aff0"/>
      </w:pPr>
      <w:r w:rsidRPr="005109B5">
        <w:t>Кафедра Хирургии</w:t>
      </w:r>
    </w:p>
    <w:p w:rsidR="005109B5" w:rsidRPr="005109B5" w:rsidRDefault="002601CA" w:rsidP="005109B5">
      <w:pPr>
        <w:pStyle w:val="aff0"/>
      </w:pPr>
      <w:r w:rsidRPr="005109B5">
        <w:t>Зав</w:t>
      </w:r>
      <w:r w:rsidR="005109B5" w:rsidRPr="005109B5">
        <w:t xml:space="preserve">. </w:t>
      </w:r>
      <w:r w:rsidRPr="005109B5">
        <w:t>кафедрой д</w:t>
      </w:r>
      <w:r w:rsidR="005109B5" w:rsidRPr="005109B5">
        <w:t xml:space="preserve">. </w:t>
      </w:r>
      <w:r w:rsidRPr="005109B5">
        <w:t>м</w:t>
      </w:r>
      <w:r w:rsidR="005109B5" w:rsidRPr="005109B5">
        <w:t xml:space="preserve">. </w:t>
      </w:r>
      <w:r w:rsidRPr="005109B5">
        <w:t>н</w:t>
      </w:r>
      <w:r w:rsidR="005109B5">
        <w:t>.</w:t>
      </w: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2601CA" w:rsidRPr="005109B5" w:rsidRDefault="002601CA" w:rsidP="005109B5">
      <w:pPr>
        <w:pStyle w:val="aff0"/>
      </w:pPr>
      <w:r w:rsidRPr="005109B5">
        <w:t>Реферат</w:t>
      </w:r>
    </w:p>
    <w:p w:rsidR="005109B5" w:rsidRDefault="002601CA" w:rsidP="005109B5">
      <w:pPr>
        <w:pStyle w:val="aff0"/>
      </w:pPr>
      <w:r w:rsidRPr="005109B5">
        <w:t>на тему</w:t>
      </w:r>
      <w:r w:rsidR="005109B5" w:rsidRPr="005109B5">
        <w:t>:</w:t>
      </w:r>
    </w:p>
    <w:p w:rsidR="005109B5" w:rsidRDefault="005109B5" w:rsidP="005109B5">
      <w:pPr>
        <w:pStyle w:val="aff0"/>
      </w:pPr>
      <w:r>
        <w:t>"</w:t>
      </w:r>
      <w:r w:rsidR="009A7DB1" w:rsidRPr="005109B5">
        <w:t>Оборудование и безопасность при анестезии</w:t>
      </w:r>
      <w:r>
        <w:t>"</w:t>
      </w: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2601CA" w:rsidP="005109B5">
      <w:pPr>
        <w:pStyle w:val="aff0"/>
        <w:jc w:val="left"/>
      </w:pPr>
      <w:r w:rsidRPr="005109B5">
        <w:t>Выполнила</w:t>
      </w:r>
      <w:r w:rsidR="005109B5" w:rsidRPr="005109B5">
        <w:t xml:space="preserve">: </w:t>
      </w:r>
      <w:r w:rsidRPr="005109B5">
        <w:t>студентка V курса</w:t>
      </w:r>
    </w:p>
    <w:p w:rsidR="005109B5" w:rsidRDefault="002601CA" w:rsidP="005109B5">
      <w:pPr>
        <w:pStyle w:val="aff0"/>
        <w:jc w:val="left"/>
      </w:pPr>
      <w:r w:rsidRPr="005109B5">
        <w:t>Проверил</w:t>
      </w:r>
      <w:r w:rsidR="005109B5" w:rsidRPr="005109B5">
        <w:t xml:space="preserve">: </w:t>
      </w:r>
      <w:r w:rsidRPr="005109B5">
        <w:t>к</w:t>
      </w:r>
      <w:r w:rsidR="005109B5" w:rsidRPr="005109B5">
        <w:t xml:space="preserve">. </w:t>
      </w:r>
      <w:r w:rsidRPr="005109B5">
        <w:t>м</w:t>
      </w:r>
      <w:r w:rsidR="005109B5" w:rsidRPr="005109B5">
        <w:t xml:space="preserve">. </w:t>
      </w:r>
      <w:r w:rsidRPr="005109B5">
        <w:t>н</w:t>
      </w:r>
      <w:r w:rsidR="005109B5">
        <w:t>.,</w:t>
      </w:r>
      <w:r w:rsidRPr="005109B5">
        <w:t xml:space="preserve"> доцент</w:t>
      </w: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5109B5" w:rsidRDefault="005109B5" w:rsidP="005109B5">
      <w:pPr>
        <w:pStyle w:val="aff0"/>
      </w:pPr>
    </w:p>
    <w:p w:rsidR="002601CA" w:rsidRPr="005109B5" w:rsidRDefault="002601CA" w:rsidP="005109B5">
      <w:pPr>
        <w:pStyle w:val="aff0"/>
      </w:pPr>
      <w:r w:rsidRPr="005109B5">
        <w:t>Пенза</w:t>
      </w:r>
      <w:r w:rsidR="005109B5">
        <w:t xml:space="preserve"> </w:t>
      </w:r>
      <w:r w:rsidRPr="005109B5">
        <w:t>2008</w:t>
      </w:r>
    </w:p>
    <w:p w:rsidR="002601CA" w:rsidRPr="005109B5" w:rsidRDefault="005109B5" w:rsidP="005109B5">
      <w:pPr>
        <w:pStyle w:val="af8"/>
      </w:pPr>
      <w:r>
        <w:br w:type="page"/>
      </w:r>
      <w:r w:rsidR="002601CA" w:rsidRPr="005109B5">
        <w:t>План</w:t>
      </w:r>
    </w:p>
    <w:p w:rsidR="005109B5" w:rsidRDefault="005109B5" w:rsidP="005109B5"/>
    <w:p w:rsidR="003A675D" w:rsidRDefault="003A675D">
      <w:pPr>
        <w:pStyle w:val="22"/>
        <w:rPr>
          <w:smallCaps w:val="0"/>
          <w:noProof/>
          <w:sz w:val="24"/>
          <w:szCs w:val="24"/>
        </w:rPr>
      </w:pPr>
      <w:r w:rsidRPr="003369EE">
        <w:rPr>
          <w:rStyle w:val="af0"/>
          <w:noProof/>
        </w:rPr>
        <w:t>1. Общая подготовка</w:t>
      </w:r>
    </w:p>
    <w:p w:rsidR="003A675D" w:rsidRDefault="003A675D">
      <w:pPr>
        <w:pStyle w:val="22"/>
        <w:rPr>
          <w:smallCaps w:val="0"/>
          <w:noProof/>
          <w:sz w:val="24"/>
          <w:szCs w:val="24"/>
        </w:rPr>
      </w:pPr>
      <w:r w:rsidRPr="003369EE">
        <w:rPr>
          <w:rStyle w:val="af0"/>
          <w:noProof/>
        </w:rPr>
        <w:t>2. Методика спинномозговой анестезии</w:t>
      </w:r>
    </w:p>
    <w:p w:rsidR="003A675D" w:rsidRDefault="003A675D">
      <w:pPr>
        <w:pStyle w:val="22"/>
        <w:rPr>
          <w:smallCaps w:val="0"/>
          <w:noProof/>
          <w:sz w:val="24"/>
          <w:szCs w:val="24"/>
        </w:rPr>
      </w:pPr>
      <w:r w:rsidRPr="003369EE">
        <w:rPr>
          <w:rStyle w:val="af0"/>
          <w:noProof/>
        </w:rPr>
        <w:t>3. Пункция твердой мозговой оболочки</w:t>
      </w:r>
    </w:p>
    <w:p w:rsidR="003A675D" w:rsidRDefault="003A675D">
      <w:pPr>
        <w:pStyle w:val="22"/>
        <w:rPr>
          <w:smallCaps w:val="0"/>
          <w:noProof/>
          <w:sz w:val="24"/>
          <w:szCs w:val="24"/>
        </w:rPr>
      </w:pPr>
      <w:r w:rsidRPr="003369EE">
        <w:rPr>
          <w:rStyle w:val="af0"/>
          <w:noProof/>
        </w:rPr>
        <w:t>4. Длительная спинномозговая анестезия</w:t>
      </w:r>
    </w:p>
    <w:p w:rsidR="003A675D" w:rsidRDefault="003A675D">
      <w:pPr>
        <w:pStyle w:val="22"/>
        <w:rPr>
          <w:smallCaps w:val="0"/>
          <w:noProof/>
          <w:sz w:val="24"/>
          <w:szCs w:val="24"/>
        </w:rPr>
      </w:pPr>
      <w:r w:rsidRPr="003369EE">
        <w:rPr>
          <w:rStyle w:val="af0"/>
          <w:noProof/>
        </w:rPr>
        <w:t>5. Факторы, влияющие на спинномозговую анестезию</w:t>
      </w:r>
    </w:p>
    <w:p w:rsidR="003A675D" w:rsidRDefault="003A675D">
      <w:pPr>
        <w:pStyle w:val="22"/>
        <w:rPr>
          <w:smallCaps w:val="0"/>
          <w:noProof/>
          <w:sz w:val="24"/>
          <w:szCs w:val="24"/>
        </w:rPr>
      </w:pPr>
      <w:r w:rsidRPr="003369EE">
        <w:rPr>
          <w:rStyle w:val="af0"/>
          <w:noProof/>
        </w:rPr>
        <w:t>Литература</w:t>
      </w:r>
    </w:p>
    <w:p w:rsidR="005109B5" w:rsidRDefault="005109B5" w:rsidP="005109B5"/>
    <w:p w:rsidR="005C6ABC" w:rsidRPr="005109B5" w:rsidRDefault="005109B5" w:rsidP="005109B5">
      <w:pPr>
        <w:pStyle w:val="2"/>
      </w:pPr>
      <w:r>
        <w:br w:type="page"/>
      </w:r>
      <w:bookmarkStart w:id="0" w:name="_Toc248947059"/>
      <w:r w:rsidR="009A7DB1" w:rsidRPr="005109B5">
        <w:t>1</w:t>
      </w:r>
      <w:r w:rsidRPr="005109B5">
        <w:t xml:space="preserve">. </w:t>
      </w:r>
      <w:r w:rsidR="005C6ABC" w:rsidRPr="005109B5">
        <w:t>Общая подготовка</w:t>
      </w:r>
      <w:bookmarkEnd w:id="0"/>
    </w:p>
    <w:p w:rsidR="005109B5" w:rsidRDefault="005109B5" w:rsidP="005109B5"/>
    <w:p w:rsidR="005109B5" w:rsidRDefault="005C6ABC" w:rsidP="005109B5">
      <w:r w:rsidRPr="005109B5">
        <w:t>Спинномозговую анестезию можно выполнять только в операционной, полностью оснащенной оборудованием для мониторинга, общей анестезии и реанимационных мероприятий</w:t>
      </w:r>
      <w:r w:rsidR="005109B5" w:rsidRPr="005109B5">
        <w:t xml:space="preserve">. </w:t>
      </w:r>
      <w:r w:rsidRPr="005109B5">
        <w:t>Это обязательное условие, так как существует реальный риск развития таких осложнений, как выраженная артериальная гипотония, тяжелая брадикардия, дыхательная недостаточность</w:t>
      </w:r>
      <w:r w:rsidR="005109B5" w:rsidRPr="005109B5">
        <w:t xml:space="preserve">. </w:t>
      </w:r>
      <w:r w:rsidRPr="005109B5">
        <w:t>Время, необходимое для развертывания аппаратуры или введения препаратов в случае возникновения осложнений, является фактором, определяющим исход лечения</w:t>
      </w:r>
      <w:r w:rsidR="005109B5" w:rsidRPr="005109B5">
        <w:t xml:space="preserve"> - </w:t>
      </w:r>
      <w:r w:rsidRPr="005109B5">
        <w:t>успех или неудачу, которая может привести даже к гибели больного</w:t>
      </w:r>
      <w:r w:rsidR="005109B5" w:rsidRPr="005109B5">
        <w:t xml:space="preserve">. </w:t>
      </w:r>
      <w:r w:rsidRPr="005109B5">
        <w:t xml:space="preserve">Мониторинг, включающий электрокардиографию, измерение артериального давления и пульсоксиметрию, позволяет своевременно выявить гемодинамические расстройства и предпринять необходимые меры в течение того периода, пока сердечный выброс и </w:t>
      </w:r>
      <w:r w:rsidR="009A7DB1" w:rsidRPr="005109B5">
        <w:t>артериальный крово</w:t>
      </w:r>
      <w:r w:rsidRPr="005109B5">
        <w:t>ток еще обеспечивают транспорт лекарственных средств к органам-мишеням</w:t>
      </w:r>
      <w:r w:rsidR="005109B5" w:rsidRPr="005109B5">
        <w:t>.</w:t>
      </w:r>
    </w:p>
    <w:p w:rsidR="005C6ABC" w:rsidRPr="005109B5" w:rsidRDefault="005C6ABC" w:rsidP="005109B5">
      <w:r w:rsidRPr="005109B5">
        <w:t>Иглы</w:t>
      </w:r>
      <w:r w:rsidR="005109B5">
        <w:t>.</w:t>
      </w:r>
    </w:p>
    <w:p w:rsidR="005109B5" w:rsidRDefault="005C6ABC" w:rsidP="005109B5">
      <w:r w:rsidRPr="005109B5">
        <w:t>Иглы для спинномозговой пункции тщательно изготовлены, не имеют шероховатостей на поверхности, снабжены плотно пригнанным съемным мандреном, обтурирующим просвет иглы</w:t>
      </w:r>
      <w:r w:rsidR="005109B5" w:rsidRPr="005109B5">
        <w:t xml:space="preserve">. </w:t>
      </w:r>
      <w:r w:rsidRPr="005109B5">
        <w:t>Производятся иглы различных размеров</w:t>
      </w:r>
      <w:r w:rsidR="005109B5" w:rsidRPr="005109B5">
        <w:t xml:space="preserve"> - </w:t>
      </w:r>
      <w:r w:rsidRPr="005109B5">
        <w:t xml:space="preserve">от 16 </w:t>
      </w:r>
      <w:r w:rsidRPr="005109B5">
        <w:rPr>
          <w:lang w:val="en-US"/>
        </w:rPr>
        <w:t>G</w:t>
      </w:r>
      <w:r w:rsidRPr="005109B5">
        <w:t xml:space="preserve"> до 30 </w:t>
      </w:r>
      <w:r w:rsidRPr="005109B5">
        <w:rPr>
          <w:lang w:val="en-US"/>
        </w:rPr>
        <w:t>G</w:t>
      </w:r>
      <w:r w:rsidR="005109B5" w:rsidRPr="005109B5">
        <w:t>.</w:t>
      </w:r>
    </w:p>
    <w:p w:rsidR="005109B5" w:rsidRDefault="005C6ABC" w:rsidP="005109B5">
      <w:r w:rsidRPr="005109B5">
        <w:t>Они отличаются формой кончика иглы и среза</w:t>
      </w:r>
      <w:r w:rsidR="005109B5" w:rsidRPr="005109B5">
        <w:t xml:space="preserve">. </w:t>
      </w:r>
      <w:r w:rsidRPr="005109B5">
        <w:t>Иглы имеют острый или тупой конец, отверстие на конце иглы или сбоку, острые или закругленные</w:t>
      </w:r>
      <w:r w:rsidR="005109B5">
        <w:t xml:space="preserve"> (</w:t>
      </w:r>
      <w:r w:rsidRPr="005109B5">
        <w:t>тупые</w:t>
      </w:r>
      <w:r w:rsidR="005109B5" w:rsidRPr="005109B5">
        <w:t xml:space="preserve">) </w:t>
      </w:r>
      <w:r w:rsidRPr="005109B5">
        <w:t>края среза иглы</w:t>
      </w:r>
      <w:r w:rsidR="005109B5" w:rsidRPr="005109B5">
        <w:t>.</w:t>
      </w:r>
      <w:r w:rsidR="005109B5">
        <w:t xml:space="preserve"> "</w:t>
      </w:r>
      <w:r w:rsidRPr="005109B5">
        <w:t>Стандартной</w:t>
      </w:r>
      <w:r w:rsidR="005109B5">
        <w:t xml:space="preserve">" </w:t>
      </w:r>
      <w:r w:rsidRPr="005109B5">
        <w:t>является игла Квинке-Бэбкока, которая имеет средней длины срез с острыми краями, острым концом и отверстием на конце</w:t>
      </w:r>
      <w:r w:rsidR="005109B5" w:rsidRPr="005109B5">
        <w:t xml:space="preserve">. </w:t>
      </w:r>
      <w:r w:rsidRPr="005109B5">
        <w:t>Две другие распространенные модели</w:t>
      </w:r>
      <w:r w:rsidR="005109B5" w:rsidRPr="005109B5">
        <w:t xml:space="preserve"> - </w:t>
      </w:r>
      <w:r w:rsidRPr="005109B5">
        <w:t>это иглы Грини и Уайтэкра</w:t>
      </w:r>
      <w:r w:rsidR="005109B5" w:rsidRPr="005109B5">
        <w:t xml:space="preserve">. </w:t>
      </w:r>
      <w:r w:rsidRPr="005109B5">
        <w:t>Игла Грини имеет длинный срез с острыми краями с закругленным концом, отверстие на конце</w:t>
      </w:r>
      <w:r w:rsidR="005109B5" w:rsidRPr="005109B5">
        <w:t xml:space="preserve">. </w:t>
      </w:r>
      <w:r w:rsidRPr="005109B5">
        <w:t>Игла Уайтэкра и другие подобные ей иглы</w:t>
      </w:r>
      <w:r w:rsidR="005109B5">
        <w:t xml:space="preserve"> "</w:t>
      </w:r>
      <w:r w:rsidRPr="005109B5">
        <w:t>карандашного типа</w:t>
      </w:r>
      <w:r w:rsidR="005109B5">
        <w:t xml:space="preserve">" </w:t>
      </w:r>
      <w:r w:rsidRPr="005109B5">
        <w:t>имеет срез с закругленными, нережущими краями и отверстие сбоку, в проксимальном отделе среза иглы</w:t>
      </w:r>
      <w:r w:rsidR="005109B5" w:rsidRPr="005109B5">
        <w:t xml:space="preserve">. </w:t>
      </w:r>
      <w:r w:rsidRPr="005109B5">
        <w:t>Предложены тупые иглы, теоретическое преимущество которых состоит в меньшей травматизации твердой мозговой оболочки, что сочетано с менее выраженным истечением цереброспинальной жидкости впоследствии</w:t>
      </w:r>
      <w:r w:rsidR="005109B5" w:rsidRPr="005109B5">
        <w:t xml:space="preserve">. </w:t>
      </w:r>
      <w:r w:rsidRPr="005109B5">
        <w:t>Клинические исследования позволяют предположить, что при использовании таких игл головные боли развиваются реже</w:t>
      </w:r>
      <w:r w:rsidR="005109B5" w:rsidRPr="005109B5">
        <w:t xml:space="preserve">. </w:t>
      </w:r>
      <w:r w:rsidRPr="005109B5">
        <w:t>Игла Питкина имеет короткий острый срез с отверстием на конце иглы</w:t>
      </w:r>
      <w:r w:rsidR="005109B5" w:rsidRPr="005109B5">
        <w:t xml:space="preserve">. </w:t>
      </w:r>
      <w:r w:rsidRPr="005109B5">
        <w:t>Она также была сконструирована с целью уменьшения травмы и, следовательно, головных болей, но при клинических исследованиях подтверждения возлагавшимся на иглу Питкина надеждам получено не было</w:t>
      </w:r>
      <w:r w:rsidR="005109B5" w:rsidRPr="005109B5">
        <w:t xml:space="preserve">. </w:t>
      </w:r>
      <w:r w:rsidRPr="005109B5">
        <w:t>Игла Туохи предназначена для эпидуральной пункции, но применяется и для длительной спинномозговой анестезии, когда необходимо установить катетер</w:t>
      </w:r>
      <w:r w:rsidR="005109B5" w:rsidRPr="005109B5">
        <w:t>.</w:t>
      </w:r>
    </w:p>
    <w:p w:rsidR="005109B5" w:rsidRDefault="005109B5" w:rsidP="005109B5"/>
    <w:p w:rsidR="005C6ABC" w:rsidRPr="005109B5" w:rsidRDefault="009A7DB1" w:rsidP="005109B5">
      <w:pPr>
        <w:pStyle w:val="2"/>
      </w:pPr>
      <w:bookmarkStart w:id="1" w:name="_Toc248947060"/>
      <w:r w:rsidRPr="005109B5">
        <w:t>2</w:t>
      </w:r>
      <w:r w:rsidR="005109B5" w:rsidRPr="005109B5">
        <w:t xml:space="preserve">. </w:t>
      </w:r>
      <w:r w:rsidR="005C6ABC" w:rsidRPr="005109B5">
        <w:t>Методика спинномозговой анестезии</w:t>
      </w:r>
      <w:bookmarkEnd w:id="1"/>
    </w:p>
    <w:p w:rsidR="005109B5" w:rsidRDefault="005109B5" w:rsidP="005109B5"/>
    <w:p w:rsidR="005109B5" w:rsidRDefault="005C6ABC" w:rsidP="005109B5">
      <w:r w:rsidRPr="005109B5">
        <w:t>Процедура начинается с обработки кожи антисептиками и определения анатомических ориентиров</w:t>
      </w:r>
      <w:r w:rsidR="005109B5" w:rsidRPr="005109B5">
        <w:t xml:space="preserve">. </w:t>
      </w:r>
      <w:r w:rsidRPr="005109B5">
        <w:t>Больного просят принять соответствующую позу и пальпируют гребни подвздошной кости</w:t>
      </w:r>
      <w:r w:rsidR="005109B5" w:rsidRPr="005109B5">
        <w:t xml:space="preserve">. </w:t>
      </w:r>
      <w:r w:rsidRPr="005109B5">
        <w:t xml:space="preserve">Если анестезиолог помещает свои руки на крылья подвздошных костей, то большие пальцы соединяются по средней линии, чаще всего между остистыми отростками </w:t>
      </w:r>
      <w:r w:rsidRPr="005109B5">
        <w:rPr>
          <w:lang w:val="en-US"/>
        </w:rPr>
        <w:t>L</w:t>
      </w:r>
      <w:r w:rsidRPr="005109B5">
        <w:rPr>
          <w:vertAlign w:val="subscript"/>
          <w:lang w:val="en-US"/>
        </w:rPr>
        <w:t>IV</w:t>
      </w:r>
      <w:r w:rsidRPr="005109B5">
        <w:t>-</w:t>
      </w:r>
      <w:r w:rsidRPr="005109B5">
        <w:rPr>
          <w:lang w:val="en-US"/>
        </w:rPr>
        <w:t>L</w:t>
      </w:r>
      <w:r w:rsidRPr="005109B5">
        <w:rPr>
          <w:vertAlign w:val="subscript"/>
          <w:lang w:val="en-US"/>
        </w:rPr>
        <w:t>V</w:t>
      </w:r>
      <w:r w:rsidR="005109B5" w:rsidRPr="005109B5">
        <w:t xml:space="preserve">. </w:t>
      </w:r>
      <w:r w:rsidRPr="005109B5">
        <w:t>Для пункции выбирают тот промежуток, где четче всего пальпируются ориентиры, его можно отметить давлением ногтя или кожным маркером</w:t>
      </w:r>
      <w:r w:rsidR="005109B5" w:rsidRPr="005109B5">
        <w:t xml:space="preserve">. </w:t>
      </w:r>
      <w:r w:rsidRPr="005109B5">
        <w:t>В качестве антисептика чаще всего используют повидон-йод, который наносят с помощью абразивной губки</w:t>
      </w:r>
      <w:r w:rsidR="005109B5" w:rsidRPr="005109B5">
        <w:t xml:space="preserve">. </w:t>
      </w:r>
      <w:r w:rsidRPr="005109B5">
        <w:t>Кожу начинают обрабатывать непосредственно в месте пункции, а затем продолжают обработку круговыми движениями от центра к периферии</w:t>
      </w:r>
      <w:r w:rsidR="005109B5" w:rsidRPr="005109B5">
        <w:t xml:space="preserve">. </w:t>
      </w:r>
      <w:r w:rsidRPr="005109B5">
        <w:t>Операционное поле закрывают стерильным бельем и удаляют раствор повидон-йода с места пункции</w:t>
      </w:r>
      <w:r w:rsidR="005109B5" w:rsidRPr="005109B5">
        <w:t xml:space="preserve">. </w:t>
      </w:r>
      <w:r w:rsidRPr="005109B5">
        <w:t>Очень важно избегать попадан</w:t>
      </w:r>
      <w:r w:rsidR="00C90151">
        <w:t>ия повидон-йода в субарахноидаль</w:t>
      </w:r>
      <w:r w:rsidRPr="005109B5">
        <w:t>ное пространство, потому что это может вызвать асептический менингит</w:t>
      </w:r>
      <w:r w:rsidR="005109B5" w:rsidRPr="005109B5">
        <w:t xml:space="preserve">. </w:t>
      </w:r>
      <w:r w:rsidRPr="005109B5">
        <w:t>На уровне выбранного межпозвоночного промежутка инфильтрируют кожу раствором местного анестетика</w:t>
      </w:r>
      <w:r w:rsidR="005109B5" w:rsidRPr="005109B5">
        <w:t xml:space="preserve">. </w:t>
      </w:r>
      <w:r w:rsidRPr="005109B5">
        <w:t>Чтобы предотвратить боль и рефлекторные движения, подлежащие ткани также инфильтрируют раствором местного анестетика с помощью более длинной иглы</w:t>
      </w:r>
      <w:r w:rsidR="005109B5" w:rsidRPr="005109B5">
        <w:t xml:space="preserve">. </w:t>
      </w:r>
      <w:r w:rsidRPr="005109B5">
        <w:t xml:space="preserve">Во время введения анестетика в глубокие структуры иглу используют как поисковую, </w:t>
      </w:r>
      <w:r w:rsidR="005109B5">
        <w:t>т.е.</w:t>
      </w:r>
      <w:r w:rsidR="005109B5" w:rsidRPr="005109B5">
        <w:t xml:space="preserve"> </w:t>
      </w:r>
      <w:r w:rsidRPr="005109B5">
        <w:t>нащупывают через нее костные ориентиры, при этом следует инфильтрировать и надкостницу</w:t>
      </w:r>
      <w:r w:rsidR="005109B5" w:rsidRPr="005109B5">
        <w:t xml:space="preserve">. </w:t>
      </w:r>
      <w:r w:rsidRPr="005109B5">
        <w:t>Использование поисковой иглы улучшает пространственную ориентацию и позволяет наилучшим образом направить иглу для спинномозговой пункции</w:t>
      </w:r>
      <w:r w:rsidR="005109B5" w:rsidRPr="005109B5">
        <w:t>.</w:t>
      </w:r>
    </w:p>
    <w:p w:rsidR="005C6ABC" w:rsidRPr="005109B5" w:rsidRDefault="005C6ABC" w:rsidP="005109B5">
      <w:r w:rsidRPr="005109B5">
        <w:t>Положение больного</w:t>
      </w:r>
      <w:r w:rsidR="005109B5">
        <w:t>.</w:t>
      </w:r>
    </w:p>
    <w:p w:rsidR="005109B5" w:rsidRDefault="005C6ABC" w:rsidP="005109B5">
      <w:r w:rsidRPr="005109B5">
        <w:t>А</w:t>
      </w:r>
      <w:r w:rsidR="005109B5" w:rsidRPr="005109B5">
        <w:t xml:space="preserve">. </w:t>
      </w:r>
      <w:r w:rsidRPr="005109B5">
        <w:t>Положение сидя</w:t>
      </w:r>
      <w:r w:rsidR="005109B5" w:rsidRPr="005109B5">
        <w:t xml:space="preserve">. </w:t>
      </w:r>
      <w:r w:rsidRPr="005109B5">
        <w:t>Часто это положение является самым удобным для выполнения люмбальной пункции</w:t>
      </w:r>
      <w:r w:rsidR="005109B5" w:rsidRPr="005109B5">
        <w:t xml:space="preserve">. </w:t>
      </w:r>
      <w:r w:rsidRPr="005109B5">
        <w:t>Больной сидит на крае операционного стола, наклонившись вперед, ноги стоят на подставке, руки скрещены на груди</w:t>
      </w:r>
      <w:r w:rsidR="005109B5" w:rsidRPr="005109B5">
        <w:t xml:space="preserve">. </w:t>
      </w:r>
      <w:r w:rsidRPr="005109B5">
        <w:t>Для удобства следует попросить больного выгнуть спину дугой, подобно</w:t>
      </w:r>
      <w:r w:rsidR="005109B5">
        <w:t xml:space="preserve"> "</w:t>
      </w:r>
      <w:r w:rsidRPr="005109B5">
        <w:t>раздраженной кошке</w:t>
      </w:r>
      <w:r w:rsidR="005109B5">
        <w:t xml:space="preserve">". </w:t>
      </w:r>
      <w:r w:rsidRPr="005109B5">
        <w:t>С помощью этого маневра происходит сгибание в поясничном отделе, кожа и подлежащие структуры натягиваются и межостистые промежутки становятся шире</w:t>
      </w:r>
      <w:r w:rsidR="005109B5" w:rsidRPr="005109B5">
        <w:t xml:space="preserve">. </w:t>
      </w:r>
      <w:r w:rsidRPr="005109B5">
        <w:t>Положение сидя не всегда можно использовать из-за боли при некоторых травмах</w:t>
      </w:r>
      <w:r w:rsidR="005109B5">
        <w:t xml:space="preserve"> (</w:t>
      </w:r>
      <w:r w:rsidRPr="005109B5">
        <w:t>например, перелом шейки бедра</w:t>
      </w:r>
      <w:r w:rsidR="005109B5" w:rsidRPr="005109B5">
        <w:t>),</w:t>
      </w:r>
      <w:r w:rsidRPr="005109B5">
        <w:t xml:space="preserve"> в родах, а также в отсутствие контакта с больным</w:t>
      </w:r>
      <w:r w:rsidR="005109B5" w:rsidRPr="005109B5">
        <w:t xml:space="preserve">. </w:t>
      </w:r>
      <w:r w:rsidRPr="005109B5">
        <w:t>Вместе с тем в некоторых случаях, например при выраженном ожирении, положение сидя</w:t>
      </w:r>
      <w:r w:rsidR="005109B5" w:rsidRPr="005109B5">
        <w:t xml:space="preserve"> - </w:t>
      </w:r>
      <w:r w:rsidRPr="005109B5">
        <w:t>единственное, при котором осуществима люмбалъная пункция</w:t>
      </w:r>
      <w:r w:rsidR="005109B5" w:rsidRPr="005109B5">
        <w:t>.</w:t>
      </w:r>
    </w:p>
    <w:p w:rsidR="005109B5" w:rsidRDefault="005C6ABC" w:rsidP="005109B5">
      <w:r w:rsidRPr="005109B5">
        <w:t>Б</w:t>
      </w:r>
      <w:r w:rsidR="005109B5" w:rsidRPr="005109B5">
        <w:t xml:space="preserve">. </w:t>
      </w:r>
      <w:r w:rsidRPr="005109B5">
        <w:t>Положение на боку</w:t>
      </w:r>
      <w:r w:rsidR="005109B5" w:rsidRPr="005109B5">
        <w:t xml:space="preserve">. </w:t>
      </w:r>
      <w:r w:rsidRPr="005109B5">
        <w:t>Больного укладывают на столе спиной к анестезиологу, чаще на тот бок, где предполагается операция</w:t>
      </w:r>
      <w:r w:rsidR="005109B5">
        <w:t xml:space="preserve"> (</w:t>
      </w:r>
      <w:r w:rsidRPr="005109B5">
        <w:t>например, если планируется операция на правой ноге, то больного кладут на правый бок</w:t>
      </w:r>
      <w:r w:rsidR="005109B5" w:rsidRPr="005109B5">
        <w:t xml:space="preserve">). </w:t>
      </w:r>
      <w:r w:rsidRPr="005109B5">
        <w:t>Больного просят</w:t>
      </w:r>
      <w:r w:rsidR="005109B5">
        <w:t xml:space="preserve"> "</w:t>
      </w:r>
      <w:r w:rsidRPr="005109B5">
        <w:t>свернуться калачиком</w:t>
      </w:r>
      <w:r w:rsidR="005109B5">
        <w:t xml:space="preserve">" </w:t>
      </w:r>
      <w:r w:rsidRPr="005109B5">
        <w:t>или</w:t>
      </w:r>
      <w:r w:rsidR="005109B5">
        <w:t xml:space="preserve"> "</w:t>
      </w:r>
      <w:r w:rsidRPr="005109B5">
        <w:t>принять эмбриональную позу</w:t>
      </w:r>
      <w:r w:rsidR="005109B5">
        <w:t xml:space="preserve">" </w:t>
      </w:r>
      <w:r w:rsidR="005109B5" w:rsidRPr="005109B5">
        <w:t xml:space="preserve">- </w:t>
      </w:r>
      <w:r w:rsidRPr="005109B5">
        <w:t>спина согнута, колени и бедра приведены к животу, голова прижата к груди</w:t>
      </w:r>
      <w:r w:rsidR="005109B5" w:rsidRPr="005109B5">
        <w:t xml:space="preserve">. </w:t>
      </w:r>
      <w:r w:rsidRPr="005109B5">
        <w:t>Это облегчает сгибание позвоночника, необходимое для расширения межостистых промежутков в поясничном отделе</w:t>
      </w:r>
      <w:r w:rsidR="005109B5" w:rsidRPr="005109B5">
        <w:t xml:space="preserve">. </w:t>
      </w:r>
      <w:r w:rsidRPr="005109B5">
        <w:t>Положение на боку используют при переломах шейки бедра и дистальных отделов нижней конечности, а также у тех больных, которые дали согласие, но неспособны к взаимодействию</w:t>
      </w:r>
      <w:r w:rsidR="005109B5" w:rsidRPr="005109B5">
        <w:t xml:space="preserve">: </w:t>
      </w:r>
      <w:r w:rsidRPr="005109B5">
        <w:t>в этом случае помощник, оказывая давление на бедра и плечи, сгибает спину</w:t>
      </w:r>
      <w:r w:rsidR="005109B5" w:rsidRPr="005109B5">
        <w:t>.</w:t>
      </w:r>
    </w:p>
    <w:p w:rsidR="005109B5" w:rsidRDefault="005C6ABC" w:rsidP="005109B5">
      <w:r w:rsidRPr="005109B5">
        <w:t>В</w:t>
      </w:r>
      <w:r w:rsidR="005109B5" w:rsidRPr="005109B5">
        <w:t xml:space="preserve">. </w:t>
      </w:r>
      <w:r w:rsidRPr="005109B5">
        <w:t>Положение лежа на животе</w:t>
      </w:r>
      <w:r w:rsidR="005109B5">
        <w:t xml:space="preserve"> (</w:t>
      </w:r>
      <w:r w:rsidRPr="005109B5">
        <w:t>ничком</w:t>
      </w:r>
      <w:r w:rsidR="005109B5" w:rsidRPr="005109B5">
        <w:t xml:space="preserve">). </w:t>
      </w:r>
      <w:r w:rsidRPr="005109B5">
        <w:t>Это положение часто используют при проктологических вмешательствах</w:t>
      </w:r>
      <w:r w:rsidR="005109B5" w:rsidRPr="005109B5">
        <w:t xml:space="preserve">. </w:t>
      </w:r>
      <w:r w:rsidRPr="005109B5">
        <w:t>Больного сразу укладывают в положение для операции и проводят люмбальную пункцию</w:t>
      </w:r>
      <w:r w:rsidR="005109B5" w:rsidRPr="005109B5">
        <w:t xml:space="preserve">. </w:t>
      </w:r>
      <w:r w:rsidRPr="005109B5">
        <w:t>Преимущество такого положения состоит в том, что нет необходимости перекладывать больного после выполнения анестезии, а гипобарические растворы анестетиков, перемещаясь вверх, обеспечивают необходимую сакральную анестезию</w:t>
      </w:r>
      <w:r w:rsidR="005109B5" w:rsidRPr="005109B5">
        <w:t xml:space="preserve">. </w:t>
      </w:r>
      <w:r w:rsidRPr="005109B5">
        <w:t>Недостаток заключается</w:t>
      </w:r>
      <w:r w:rsidR="005109B5" w:rsidRPr="005109B5">
        <w:t xml:space="preserve"> </w:t>
      </w:r>
      <w:r w:rsidRPr="005109B5">
        <w:t>в том</w:t>
      </w:r>
      <w:r w:rsidR="005109B5" w:rsidRPr="005109B5">
        <w:t xml:space="preserve">, </w:t>
      </w:r>
      <w:r w:rsidRPr="005109B5">
        <w:t>что трудно подтвердить попадание иглы в субарахноидальное пространство</w:t>
      </w:r>
      <w:r w:rsidR="005109B5" w:rsidRPr="005109B5">
        <w:t xml:space="preserve">: </w:t>
      </w:r>
      <w:r w:rsidRPr="005109B5">
        <w:t>самостоятельного истечения цереброспинальной жидкости при этом не происходит, хотя возможна ее осторожная аспирация</w:t>
      </w:r>
      <w:r w:rsidR="005109B5" w:rsidRPr="005109B5">
        <w:t>.</w:t>
      </w:r>
    </w:p>
    <w:p w:rsidR="005109B5" w:rsidRDefault="005109B5" w:rsidP="005109B5"/>
    <w:p w:rsidR="005C6ABC" w:rsidRPr="005109B5" w:rsidRDefault="009A7DB1" w:rsidP="005109B5">
      <w:pPr>
        <w:pStyle w:val="2"/>
      </w:pPr>
      <w:bookmarkStart w:id="2" w:name="_Toc248947061"/>
      <w:r w:rsidRPr="005109B5">
        <w:t>3</w:t>
      </w:r>
      <w:r w:rsidR="005109B5" w:rsidRPr="005109B5">
        <w:t xml:space="preserve">. </w:t>
      </w:r>
      <w:r w:rsidR="005C6ABC" w:rsidRPr="005109B5">
        <w:t>Пункция твердой мозговой оболочки</w:t>
      </w:r>
      <w:bookmarkEnd w:id="2"/>
    </w:p>
    <w:p w:rsidR="005109B5" w:rsidRDefault="005109B5" w:rsidP="005109B5"/>
    <w:p w:rsidR="005109B5" w:rsidRDefault="005C6ABC" w:rsidP="005109B5">
      <w:r w:rsidRPr="005109B5">
        <w:t>А</w:t>
      </w:r>
      <w:r w:rsidR="005109B5" w:rsidRPr="005109B5">
        <w:t xml:space="preserve">. </w:t>
      </w:r>
      <w:r w:rsidRPr="005109B5">
        <w:t>Срединный доступ</w:t>
      </w:r>
      <w:r w:rsidR="005109B5" w:rsidRPr="005109B5">
        <w:t xml:space="preserve">. </w:t>
      </w:r>
      <w:r w:rsidRPr="005109B5">
        <w:t>Верхушки остистых отростков двух соседних позвонков используются как поверхностные ориентиры межпозвоночного промежутка</w:t>
      </w:r>
      <w:r w:rsidR="005109B5" w:rsidRPr="005109B5">
        <w:t xml:space="preserve">. </w:t>
      </w:r>
      <w:r w:rsidRPr="005109B5">
        <w:t>Поскольку остистые отростки в поясничном отделе отходят под некоторым углом, открытым книзу, инфильтрацию кожи местным анестетиком выполняют непосредственно под вышележащим остистым отростком</w:t>
      </w:r>
      <w:r w:rsidR="005109B5" w:rsidRPr="005109B5">
        <w:t xml:space="preserve">. </w:t>
      </w:r>
      <w:r w:rsidRPr="005109B5">
        <w:t xml:space="preserve">Иглу продвигают по средней линии под остистый отросток и параллельно ему, </w:t>
      </w:r>
      <w:r w:rsidR="005109B5">
        <w:t>т.е.</w:t>
      </w:r>
      <w:r w:rsidR="005109B5" w:rsidRPr="005109B5">
        <w:t xml:space="preserve"> </w:t>
      </w:r>
      <w:r w:rsidRPr="005109B5">
        <w:t>ориентируя ее слегка каудально</w:t>
      </w:r>
      <w:r w:rsidR="005109B5" w:rsidRPr="005109B5">
        <w:t xml:space="preserve">. </w:t>
      </w:r>
      <w:r w:rsidRPr="005109B5">
        <w:t>Плавное продвижение иглы подтверждает правильность манипуляции, Игла может упираться в костную структуру вблизи от поверхности</w:t>
      </w:r>
      <w:r w:rsidR="005109B5" w:rsidRPr="005109B5">
        <w:t xml:space="preserve"> - </w:t>
      </w:r>
      <w:r w:rsidRPr="005109B5">
        <w:t>обычно это остистый отросток, или же в глубине</w:t>
      </w:r>
      <w:r w:rsidR="005109B5" w:rsidRPr="005109B5">
        <w:t xml:space="preserve"> - </w:t>
      </w:r>
      <w:r w:rsidRPr="005109B5">
        <w:t>это может быть либо пластинка позвонка</w:t>
      </w:r>
      <w:r w:rsidR="005109B5">
        <w:t xml:space="preserve"> (</w:t>
      </w:r>
      <w:r w:rsidRPr="005109B5">
        <w:t>при срединном положении иглы</w:t>
      </w:r>
      <w:r w:rsidR="005109B5" w:rsidRPr="005109B5">
        <w:t>),</w:t>
      </w:r>
      <w:r w:rsidRPr="005109B5">
        <w:t xml:space="preserve"> либо его ножка</w:t>
      </w:r>
      <w:r w:rsidR="005109B5">
        <w:t xml:space="preserve"> (</w:t>
      </w:r>
      <w:r w:rsidRPr="005109B5">
        <w:t>при латеральном положении иглы</w:t>
      </w:r>
      <w:r w:rsidR="005109B5" w:rsidRPr="005109B5">
        <w:t xml:space="preserve">). </w:t>
      </w:r>
      <w:r w:rsidRPr="005109B5">
        <w:t>Эту информацию следует использовать для коррекции положения иглы</w:t>
      </w:r>
      <w:r w:rsidR="005109B5" w:rsidRPr="005109B5">
        <w:t xml:space="preserve">. </w:t>
      </w:r>
      <w:r w:rsidRPr="005109B5">
        <w:t>В трудных случаях намеренный контакт с пластинкой с обеих сторон помогает идентифицировать срединную линию и облегчает пункцию твердой мозговой оболочки</w:t>
      </w:r>
      <w:r w:rsidR="005109B5" w:rsidRPr="005109B5">
        <w:t xml:space="preserve">. </w:t>
      </w:r>
      <w:r w:rsidRPr="005109B5">
        <w:t>Пройдя через подкожный жировой слой, игла входит в надостистую и межостистую связки, что ощущается как сопротивление</w:t>
      </w:r>
      <w:r w:rsidR="005109B5" w:rsidRPr="005109B5">
        <w:t xml:space="preserve">. </w:t>
      </w:r>
      <w:r w:rsidRPr="005109B5">
        <w:t>Второе ощущение сопротивления появляется при перфорации желтой связки, и, наконец, при пункции твердой мозговой оболочки возникает последнее, третье тактильное ощущение</w:t>
      </w:r>
      <w:r w:rsidR="005109B5" w:rsidRPr="005109B5">
        <w:t xml:space="preserve"> - </w:t>
      </w:r>
      <w:r w:rsidRPr="005109B5">
        <w:t>так называемая утрата сопротивления</w:t>
      </w:r>
      <w:r w:rsidR="005109B5" w:rsidRPr="005109B5">
        <w:t xml:space="preserve">. </w:t>
      </w:r>
      <w:r w:rsidRPr="005109B5">
        <w:t>По мере приобретения опыта анестезиолог начинает ощущать прохождение иглы через каждый слой, а удачная пункция подтверждается свободным истечением цереброспинальной жидкости при удалении из иглы мандрена</w:t>
      </w:r>
      <w:r w:rsidR="005109B5" w:rsidRPr="005109B5">
        <w:t xml:space="preserve">. </w:t>
      </w:r>
      <w:r w:rsidRPr="005109B5">
        <w:t>Иглу вращают вокруг собственной оси на 360°, чтобы подтвердить свободное истечение ликвора из всех квадрантов, подсоединяют шприц, аспирируют цереброспинальную жидкость и вводят анестетик</w:t>
      </w:r>
      <w:r w:rsidR="005109B5" w:rsidRPr="005109B5">
        <w:t xml:space="preserve">. </w:t>
      </w:r>
      <w:r w:rsidRPr="005109B5">
        <w:t>Упорные острые парестезии указывают на необходимость сменить положение иглы</w:t>
      </w:r>
      <w:r w:rsidR="005109B5" w:rsidRPr="005109B5">
        <w:t xml:space="preserve">. </w:t>
      </w:r>
      <w:r w:rsidRPr="005109B5">
        <w:t>Свободное истечение жидкости из каждого квадранта и свободная ее аспирация до и после введения анестетика подтверждают правильное положение иглы</w:t>
      </w:r>
      <w:r w:rsidR="005109B5" w:rsidRPr="005109B5">
        <w:t xml:space="preserve">. </w:t>
      </w:r>
      <w:r w:rsidRPr="005109B5">
        <w:t>Если пункция твердой мозговой оболочки произошла рядом с дуральной муфтой, то цереброспинальная жидкость не будет поступать свободно из всех квадрантов, в этом случае следует воздержаться от введения анестетика</w:t>
      </w:r>
      <w:r w:rsidR="005109B5" w:rsidRPr="005109B5">
        <w:t xml:space="preserve">. </w:t>
      </w:r>
      <w:r w:rsidRPr="005109B5">
        <w:t>Если при этих обстоятельствах все же ввести анестетик, то результатом будет либо неадекватная, слабая блокада, либо повреждение спинномозгового нерва</w:t>
      </w:r>
      <w:r w:rsidR="005109B5">
        <w:t xml:space="preserve"> (</w:t>
      </w:r>
      <w:r w:rsidRPr="005109B5">
        <w:t>последнее, впрочем, случается редко</w:t>
      </w:r>
      <w:r w:rsidR="005109B5" w:rsidRPr="005109B5">
        <w:t xml:space="preserve">). </w:t>
      </w:r>
      <w:r w:rsidRPr="005109B5">
        <w:t>Свободная аспирация цереброспинальной жидкости после присоединения шприца подтверждает правильное положение иглы</w:t>
      </w:r>
      <w:r w:rsidR="005109B5" w:rsidRPr="005109B5">
        <w:t>.</w:t>
      </w:r>
    </w:p>
    <w:p w:rsidR="005109B5" w:rsidRDefault="005C6ABC" w:rsidP="005109B5">
      <w:r w:rsidRPr="005109B5">
        <w:t>Б</w:t>
      </w:r>
      <w:r w:rsidR="005109B5" w:rsidRPr="005109B5">
        <w:t xml:space="preserve">. </w:t>
      </w:r>
      <w:r w:rsidRPr="005109B5">
        <w:t>Парамедианный</w:t>
      </w:r>
      <w:r w:rsidR="005109B5">
        <w:t xml:space="preserve"> (</w:t>
      </w:r>
      <w:r w:rsidRPr="005109B5">
        <w:t>околосрединный</w:t>
      </w:r>
      <w:r w:rsidR="005109B5" w:rsidRPr="005109B5">
        <w:t xml:space="preserve">) </w:t>
      </w:r>
      <w:r w:rsidRPr="005109B5">
        <w:t>доступ</w:t>
      </w:r>
      <w:r w:rsidR="005109B5" w:rsidRPr="005109B5">
        <w:t xml:space="preserve">. </w:t>
      </w:r>
      <w:r w:rsidRPr="005109B5">
        <w:t>Парамедианный доступ используют при высоком риске возникновения технических затруднений</w:t>
      </w:r>
      <w:r w:rsidR="005109B5" w:rsidRPr="005109B5">
        <w:t xml:space="preserve">: </w:t>
      </w:r>
      <w:r w:rsidRPr="005109B5">
        <w:t>при артрите, кифосколиозе, при предшествующих операциях на поясничном отделе позвоночника</w:t>
      </w:r>
      <w:r w:rsidR="005109B5" w:rsidRPr="005109B5">
        <w:t xml:space="preserve">. </w:t>
      </w:r>
      <w:r w:rsidRPr="005109B5">
        <w:t>Пункцию осуществляют не по средней линии, а латеральнее основной массы связок позвоночника</w:t>
      </w:r>
      <w:r w:rsidR="005109B5" w:rsidRPr="005109B5">
        <w:t>.</w:t>
      </w:r>
    </w:p>
    <w:p w:rsidR="005109B5" w:rsidRDefault="005C6ABC" w:rsidP="005109B5">
      <w:r w:rsidRPr="005109B5">
        <w:t>Пальпируют срединную линию и межостистые промежутки</w:t>
      </w:r>
      <w:r w:rsidR="005109B5" w:rsidRPr="005109B5">
        <w:t xml:space="preserve">. </w:t>
      </w:r>
      <w:r w:rsidRPr="005109B5">
        <w:t>Кожу инфильтрируют местным анестетиком на 2 см латеральнее вышележащего остистого отростка</w:t>
      </w:r>
      <w:r w:rsidR="005109B5" w:rsidRPr="005109B5">
        <w:t xml:space="preserve">. </w:t>
      </w:r>
      <w:r w:rsidRPr="005109B5">
        <w:t>Иглу направляют под углом 10-15° к средней линии спины и продвигают вперед</w:t>
      </w:r>
      <w:r w:rsidR="005109B5" w:rsidRPr="005109B5">
        <w:t xml:space="preserve">. </w:t>
      </w:r>
      <w:r w:rsidRPr="005109B5">
        <w:t>Выбирая угол вкола, надо представить, что игла должна пересечь воображаемую среднюю линию спины примерно на глубине 4-6 см от поверхности</w:t>
      </w:r>
      <w:r w:rsidR="005109B5" w:rsidRPr="005109B5">
        <w:t xml:space="preserve">. </w:t>
      </w:r>
      <w:r w:rsidRPr="005109B5">
        <w:t>Мышечный массив расположен непосредственно над желтой связкой, поэтому анестезиолог ощущает только два препятствия</w:t>
      </w:r>
      <w:r w:rsidR="005109B5" w:rsidRPr="005109B5">
        <w:t xml:space="preserve">: </w:t>
      </w:r>
      <w:r w:rsidRPr="005109B5">
        <w:t>при перфорации желтой связки и твердой мозговой оболочки</w:t>
      </w:r>
      <w:r w:rsidR="005109B5" w:rsidRPr="005109B5">
        <w:t>.</w:t>
      </w:r>
    </w:p>
    <w:p w:rsidR="005109B5" w:rsidRDefault="005109B5" w:rsidP="005109B5"/>
    <w:p w:rsidR="005C6ABC" w:rsidRPr="005109B5" w:rsidRDefault="009A7DB1" w:rsidP="005109B5">
      <w:pPr>
        <w:pStyle w:val="2"/>
      </w:pPr>
      <w:bookmarkStart w:id="3" w:name="_Toc248947062"/>
      <w:r w:rsidRPr="005109B5">
        <w:t>4</w:t>
      </w:r>
      <w:r w:rsidR="005109B5" w:rsidRPr="005109B5">
        <w:t xml:space="preserve">. </w:t>
      </w:r>
      <w:r w:rsidR="005C6ABC" w:rsidRPr="005109B5">
        <w:t>Длительная спинномозговая анестезия</w:t>
      </w:r>
      <w:bookmarkEnd w:id="3"/>
    </w:p>
    <w:p w:rsidR="005109B5" w:rsidRDefault="005109B5" w:rsidP="005109B5"/>
    <w:p w:rsidR="005109B5" w:rsidRDefault="005C6ABC" w:rsidP="005109B5">
      <w:r w:rsidRPr="005109B5">
        <w:t>Если в субарахноидальное пространство спинного мозга ввести катетер, то можно проводить длительную спинномозговую анестезию</w:t>
      </w:r>
      <w:r w:rsidR="005109B5" w:rsidRPr="005109B5">
        <w:t xml:space="preserve">. </w:t>
      </w:r>
      <w:r w:rsidRPr="005109B5">
        <w:t>Преимущества такой анестезии заключаются в уменьшении общей дозы анестетика, снижении риска внезапных гемодинамических расстройств, характерных для струйного введения, а также в возможности длительной анестезии</w:t>
      </w:r>
      <w:r w:rsidR="005109B5" w:rsidRPr="005109B5">
        <w:t>.</w:t>
      </w:r>
    </w:p>
    <w:p w:rsidR="005109B5" w:rsidRDefault="005C6ABC" w:rsidP="005109B5">
      <w:r w:rsidRPr="005109B5">
        <w:t>Вначале, на этапе внедрения, для длительной спинномозговой анестезии использовали приспособления, предназначенные для эпидуральной анестезии</w:t>
      </w:r>
      <w:r w:rsidR="005109B5" w:rsidRPr="005109B5">
        <w:t xml:space="preserve">. </w:t>
      </w:r>
      <w:r w:rsidRPr="005109B5">
        <w:t>При этом приходилось сталкиваться с техническими трудностями и осложнениями, включая выраженные постпункционные головные боли и</w:t>
      </w:r>
      <w:r w:rsidRPr="005109B5">
        <w:rPr>
          <w:smallCaps/>
        </w:rPr>
        <w:t xml:space="preserve">, </w:t>
      </w:r>
      <w:r w:rsidRPr="005109B5">
        <w:t>что гораздо более серьезно, повреждения и инфекции центральной нервной системы</w:t>
      </w:r>
      <w:r w:rsidR="005109B5" w:rsidRPr="005109B5">
        <w:t>.</w:t>
      </w:r>
    </w:p>
    <w:p w:rsidR="005109B5" w:rsidRDefault="005C6ABC" w:rsidP="005109B5">
      <w:r w:rsidRPr="005109B5">
        <w:t>Вновь возникший интерес к длительной спинномозговой анестезии обусловлен появлением усовершенствованных игл и катетеров</w:t>
      </w:r>
      <w:r w:rsidR="005109B5" w:rsidRPr="005109B5">
        <w:t xml:space="preserve">. </w:t>
      </w:r>
      <w:r w:rsidRPr="005109B5">
        <w:t>Применение игл малого диаметра</w:t>
      </w:r>
      <w:r w:rsidR="005109B5">
        <w:t xml:space="preserve"> (</w:t>
      </w:r>
      <w:r w:rsidRPr="005109B5">
        <w:t xml:space="preserve">не толще 25 </w:t>
      </w:r>
      <w:r w:rsidRPr="005109B5">
        <w:rPr>
          <w:lang w:val="en-US"/>
        </w:rPr>
        <w:t>G</w:t>
      </w:r>
      <w:r w:rsidR="005109B5" w:rsidRPr="005109B5">
        <w:t xml:space="preserve">) </w:t>
      </w:r>
      <w:r w:rsidRPr="005109B5">
        <w:t>в сочетании с очень тонкими катетерами</w:t>
      </w:r>
      <w:r w:rsidR="005109B5">
        <w:t xml:space="preserve"> (</w:t>
      </w:r>
      <w:r w:rsidRPr="005109B5">
        <w:t xml:space="preserve">32 </w:t>
      </w:r>
      <w:r w:rsidRPr="005109B5">
        <w:rPr>
          <w:lang w:val="en-US"/>
        </w:rPr>
        <w:t>G</w:t>
      </w:r>
      <w:r w:rsidR="005109B5" w:rsidRPr="005109B5">
        <w:t xml:space="preserve">) </w:t>
      </w:r>
      <w:r w:rsidRPr="005109B5">
        <w:t>снизило частоту возникновения постпункционной головной боли даже у больных группы повышенного риска</w:t>
      </w:r>
      <w:r w:rsidR="005109B5">
        <w:t xml:space="preserve"> (</w:t>
      </w:r>
      <w:r w:rsidRPr="005109B5">
        <w:t>молодой возраст, женский пол</w:t>
      </w:r>
      <w:r w:rsidR="005109B5" w:rsidRPr="005109B5">
        <w:t xml:space="preserve">). </w:t>
      </w:r>
      <w:r w:rsidRPr="005109B5">
        <w:t>Первые попытки врача использовать эти системы могут быть неудачны, но по мере приобретения опыта удается быстро добиться успеха</w:t>
      </w:r>
      <w:r w:rsidR="005109B5" w:rsidRPr="005109B5">
        <w:t xml:space="preserve">. </w:t>
      </w:r>
      <w:r w:rsidRPr="005109B5">
        <w:t>Осложнения включают разрыв катетера внутри субарахноидального пространства, а также неврологические расстройства, особенно синдром конского хвоста</w:t>
      </w:r>
      <w:r w:rsidR="005109B5" w:rsidRPr="005109B5">
        <w:t xml:space="preserve">. </w:t>
      </w:r>
      <w:r w:rsidRPr="005109B5">
        <w:t>Считают, что неврологическое повреждение обусловлено локальным влиянием высоких концентраций местного анестетика при многократном введении или в случае наличия препятствий для свободной циркуляции цереброспинальной жидкости</w:t>
      </w:r>
      <w:r w:rsidR="005109B5">
        <w:t xml:space="preserve"> (</w:t>
      </w:r>
      <w:r w:rsidRPr="005109B5">
        <w:t>анатомические аномалии, спайки внутри субарахноидального пространства</w:t>
      </w:r>
      <w:r w:rsidR="005109B5" w:rsidRPr="005109B5">
        <w:t xml:space="preserve">). </w:t>
      </w:r>
      <w:r w:rsidRPr="005109B5">
        <w:t>В настоящее время ввиду тяжести осложнений Управление по контролю за лекарственными препаратами и пищевыми продуктами США отозвало разрешение на клиническое применение длительной спинномозговой анестезии вплоть до получения результатов детальных исследований</w:t>
      </w:r>
      <w:r w:rsidR="005109B5" w:rsidRPr="005109B5">
        <w:t>.</w:t>
      </w:r>
    </w:p>
    <w:p w:rsidR="00C90151" w:rsidRDefault="00C90151" w:rsidP="005109B5"/>
    <w:p w:rsidR="005C6ABC" w:rsidRPr="005109B5" w:rsidRDefault="00C90151" w:rsidP="00C90151">
      <w:pPr>
        <w:pStyle w:val="2"/>
      </w:pPr>
      <w:bookmarkStart w:id="4" w:name="_Toc248947063"/>
      <w:r>
        <w:t xml:space="preserve">5. </w:t>
      </w:r>
      <w:r w:rsidR="005C6ABC" w:rsidRPr="005109B5">
        <w:t>Факторы, влияющие на спинномозговую анестезию</w:t>
      </w:r>
      <w:bookmarkEnd w:id="4"/>
    </w:p>
    <w:p w:rsidR="00C90151" w:rsidRDefault="00C90151" w:rsidP="005109B5"/>
    <w:p w:rsidR="005109B5" w:rsidRDefault="005C6ABC" w:rsidP="005109B5">
      <w:r w:rsidRPr="005109B5">
        <w:t>Спинномозговая анестезия</w:t>
      </w:r>
      <w:r w:rsidR="005109B5" w:rsidRPr="005109B5">
        <w:t xml:space="preserve"> - </w:t>
      </w:r>
      <w:r w:rsidRPr="005109B5">
        <w:t>результат воздействия местного анестетика на спинномозговые нервы и спинномозговые узлы</w:t>
      </w:r>
      <w:r w:rsidR="005109B5">
        <w:t xml:space="preserve"> (</w:t>
      </w:r>
      <w:r w:rsidRPr="005109B5">
        <w:t>концентрация анестетика в веществе спинного мозга слишком мала, чтобы вызвать какие-либо клинические проявления</w:t>
      </w:r>
      <w:r w:rsidR="005109B5" w:rsidRPr="005109B5">
        <w:t xml:space="preserve">). </w:t>
      </w:r>
      <w:r w:rsidRPr="005109B5">
        <w:t>Люмбальная пункция</w:t>
      </w:r>
      <w:r w:rsidR="005109B5" w:rsidRPr="005109B5">
        <w:t xml:space="preserve"> - </w:t>
      </w:r>
      <w:r w:rsidRPr="005109B5">
        <w:t>это только первый этап спинномозговой анестезии</w:t>
      </w:r>
      <w:r w:rsidR="005109B5" w:rsidRPr="005109B5">
        <w:t xml:space="preserve">. </w:t>
      </w:r>
      <w:r w:rsidRPr="005109B5">
        <w:t>На качество и уровень анестезии влияют многие факторы</w:t>
      </w:r>
      <w:r w:rsidR="005109B5" w:rsidRPr="005109B5">
        <w:t>.</w:t>
      </w:r>
    </w:p>
    <w:p w:rsidR="005C6ABC" w:rsidRPr="005109B5" w:rsidRDefault="005C6ABC" w:rsidP="005109B5">
      <w:r w:rsidRPr="005109B5">
        <w:t>Анестетики</w:t>
      </w:r>
      <w:r w:rsidR="005109B5">
        <w:t>.</w:t>
      </w:r>
    </w:p>
    <w:p w:rsidR="005109B5" w:rsidRDefault="005C6ABC" w:rsidP="005109B5">
      <w:r w:rsidRPr="005109B5">
        <w:t>Для спинномозговой анестезии пытались применять многие анестетики, но широкое распространение получили толь</w:t>
      </w:r>
      <w:r w:rsidR="009A7DB1" w:rsidRPr="005109B5">
        <w:t>ко некоторые из них</w:t>
      </w:r>
      <w:r w:rsidR="005109B5">
        <w:t xml:space="preserve"> (</w:t>
      </w:r>
      <w:r w:rsidR="009A7DB1" w:rsidRPr="005109B5">
        <w:t>табл</w:t>
      </w:r>
      <w:r w:rsidR="005109B5">
        <w:t>.1</w:t>
      </w:r>
      <w:r w:rsidR="005109B5" w:rsidRPr="005109B5">
        <w:t xml:space="preserve">). </w:t>
      </w:r>
      <w:r w:rsidRPr="005109B5">
        <w:t>Иногда для увеличения силы и продолжительности анестезии местный анестетик используют вместе с опиоидом</w:t>
      </w:r>
      <w:r w:rsidR="005109B5" w:rsidRPr="005109B5">
        <w:t>.</w:t>
      </w:r>
    </w:p>
    <w:p w:rsidR="005109B5" w:rsidRDefault="005C6ABC" w:rsidP="005109B5">
      <w:r w:rsidRPr="005109B5">
        <w:t>А</w:t>
      </w:r>
      <w:r w:rsidR="005109B5" w:rsidRPr="005109B5">
        <w:t xml:space="preserve">. </w:t>
      </w:r>
      <w:r w:rsidRPr="005109B5">
        <w:t>Прокаин</w:t>
      </w:r>
      <w:r w:rsidR="005109B5" w:rsidRPr="005109B5">
        <w:t xml:space="preserve">. </w:t>
      </w:r>
      <w:r w:rsidRPr="005109B5">
        <w:t>Прокаин</w:t>
      </w:r>
      <w:r w:rsidR="005109B5" w:rsidRPr="005109B5">
        <w:t xml:space="preserve"> - </w:t>
      </w:r>
      <w:r w:rsidRPr="005109B5">
        <w:t>это эфир, для которого свойственны быстрое начало и короткая продолжительность действия</w:t>
      </w:r>
      <w:r w:rsidR="005109B5">
        <w:t xml:space="preserve"> (</w:t>
      </w:r>
      <w:r w:rsidRPr="005109B5">
        <w:t>45-60 мин</w:t>
      </w:r>
      <w:r w:rsidR="005109B5" w:rsidRPr="005109B5">
        <w:t xml:space="preserve">). </w:t>
      </w:r>
      <w:r w:rsidRPr="005109B5">
        <w:t>Добавление вазоконстрикторов позволяет увеличить продолжительность действия</w:t>
      </w:r>
      <w:r w:rsidR="005109B5" w:rsidRPr="005109B5">
        <w:t xml:space="preserve">. </w:t>
      </w:r>
      <w:r w:rsidRPr="005109B5">
        <w:t>Применяемый для коротких вмешательств, этот анестетик обеспечивает кратковременную мощную блокаду, при длительных операциях его комбинируют с тетракаином</w:t>
      </w:r>
      <w:r w:rsidR="005109B5" w:rsidRPr="005109B5">
        <w:t xml:space="preserve">. </w:t>
      </w:r>
      <w:r w:rsidRPr="005109B5">
        <w:t>Прокаин можно также применять в меньших концентрациях для дифференциальной блокады при диагно</w:t>
      </w:r>
      <w:r w:rsidR="009A7DB1" w:rsidRPr="005109B5">
        <w:t>стике болевых синдромов</w:t>
      </w:r>
      <w:r w:rsidR="005109B5" w:rsidRPr="005109B5">
        <w:t xml:space="preserve">. </w:t>
      </w:r>
      <w:r w:rsidRPr="005109B5">
        <w:t>Сравнение прокаина с другими местными анестетиками для спинномозговой анестезии</w:t>
      </w:r>
      <w:r w:rsidR="005109B5" w:rsidRPr="005109B5">
        <w:t xml:space="preserve"> - </w:t>
      </w:r>
      <w:r w:rsidRPr="005109B5">
        <w:t>табл</w:t>
      </w:r>
      <w:r w:rsidR="005109B5">
        <w:t>.1</w:t>
      </w:r>
      <w:r w:rsidRPr="005109B5">
        <w:t>6-3</w:t>
      </w:r>
      <w:r w:rsidR="005109B5" w:rsidRPr="005109B5">
        <w:t>.</w:t>
      </w:r>
    </w:p>
    <w:p w:rsidR="005C6ABC" w:rsidRPr="005109B5" w:rsidRDefault="005109B5" w:rsidP="005109B5">
      <w:pPr>
        <w:ind w:left="708" w:firstLine="12"/>
      </w:pPr>
      <w:r>
        <w:br w:type="page"/>
      </w:r>
      <w:r w:rsidR="005C6ABC" w:rsidRPr="005109B5">
        <w:t>ТАБЛИЦА 1</w:t>
      </w:r>
      <w:r w:rsidRPr="005109B5">
        <w:t xml:space="preserve">. </w:t>
      </w:r>
      <w:r w:rsidR="005C6ABC" w:rsidRPr="005109B5">
        <w:rPr>
          <w:i/>
          <w:iCs/>
        </w:rPr>
        <w:t>Местные анестетики для спинномозговой анестезии</w:t>
      </w:r>
      <w:r w:rsidRPr="005109B5">
        <w:rPr>
          <w:i/>
          <w:iCs/>
        </w:rPr>
        <w:t xml:space="preserve">: </w:t>
      </w:r>
      <w:r w:rsidR="005C6ABC" w:rsidRPr="005109B5">
        <w:rPr>
          <w:i/>
          <w:iCs/>
        </w:rPr>
        <w:t>дозы и продолжительность действия</w:t>
      </w:r>
    </w:p>
    <w:tbl>
      <w:tblPr>
        <w:tblW w:w="485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1416"/>
        <w:gridCol w:w="1418"/>
        <w:gridCol w:w="1508"/>
        <w:gridCol w:w="856"/>
        <w:gridCol w:w="1118"/>
        <w:gridCol w:w="1833"/>
      </w:tblGrid>
      <w:tr w:rsidR="005C6ABC" w:rsidRPr="005109B5">
        <w:trPr>
          <w:trHeight w:val="69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Анестетик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Лекарственная форма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Промежность, нижние конечности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Доза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Продолжительность действия, мин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Продолжительность действия при добавлении адреналина, мин</w:t>
            </w:r>
          </w:p>
        </w:tc>
      </w:tr>
      <w:tr w:rsidR="005C6ABC" w:rsidRPr="005109B5">
        <w:trPr>
          <w:trHeight w:val="432"/>
          <w:jc w:val="center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Нижний этаж</w:t>
            </w:r>
          </w:p>
          <w:p w:rsidR="005C6ABC" w:rsidRPr="005109B5" w:rsidRDefault="005C6ABC" w:rsidP="00132AAC">
            <w:pPr>
              <w:pStyle w:val="af9"/>
            </w:pPr>
            <w:r w:rsidRPr="005109B5">
              <w:t>брюшной полости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Т4</w:t>
            </w:r>
          </w:p>
          <w:p w:rsidR="005C6ABC" w:rsidRPr="005109B5" w:rsidRDefault="005C6ABC" w:rsidP="00132AAC">
            <w:pPr>
              <w:pStyle w:val="af9"/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</w:p>
        </w:tc>
      </w:tr>
      <w:tr w:rsidR="005C6ABC" w:rsidRPr="005109B5">
        <w:trPr>
          <w:trHeight w:val="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Прокаин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10</w:t>
            </w:r>
            <w:r w:rsidR="005109B5" w:rsidRPr="005109B5">
              <w:t>%</w:t>
            </w:r>
            <w:r w:rsidRPr="005109B5">
              <w:t xml:space="preserve"> раствор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75 мг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125мг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200мг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45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60</w:t>
            </w:r>
          </w:p>
        </w:tc>
      </w:tr>
      <w:tr w:rsidR="005C6ABC" w:rsidRPr="005109B5">
        <w:trPr>
          <w:cantSplit/>
          <w:trHeight w:val="11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ABC" w:rsidRPr="005109B5" w:rsidRDefault="005C6ABC" w:rsidP="00132AAC">
            <w:pPr>
              <w:pStyle w:val="af9"/>
              <w:ind w:left="113" w:right="113"/>
            </w:pPr>
            <w:r w:rsidRPr="005109B5">
              <w:t>Тетракаин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</w:t>
            </w:r>
            <w:r w:rsidR="005109B5" w:rsidRPr="005109B5">
              <w:t>%</w:t>
            </w:r>
            <w:r w:rsidRPr="005109B5">
              <w:t xml:space="preserve"> раствор, сухой кристаллический порошок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6-8 мг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8-14 мг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14-20 мг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90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120-150</w:t>
            </w:r>
          </w:p>
        </w:tc>
      </w:tr>
      <w:tr w:rsidR="005C6ABC" w:rsidRPr="005109B5">
        <w:trPr>
          <w:cantSplit/>
          <w:trHeight w:val="11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ABC" w:rsidRPr="005109B5" w:rsidRDefault="005C6ABC" w:rsidP="00132AAC">
            <w:pPr>
              <w:pStyle w:val="af9"/>
              <w:ind w:left="113" w:right="113"/>
            </w:pPr>
            <w:r w:rsidRPr="005109B5">
              <w:t>Лидокаин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5</w:t>
            </w:r>
            <w:r w:rsidR="005109B5" w:rsidRPr="005109B5">
              <w:t>%</w:t>
            </w:r>
            <w:r w:rsidRPr="005109B5">
              <w:t xml:space="preserve"> раствор в 7,5</w:t>
            </w:r>
            <w:r w:rsidR="005109B5" w:rsidRPr="005109B5">
              <w:t>%</w:t>
            </w:r>
            <w:r w:rsidRPr="005109B5">
              <w:t xml:space="preserve"> растворе глюкозы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25мг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50-75 мг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75-100 мг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60-90</w:t>
            </w:r>
          </w:p>
        </w:tc>
      </w:tr>
      <w:tr w:rsidR="005C6ABC" w:rsidRPr="005109B5">
        <w:trPr>
          <w:cantSplit/>
          <w:trHeight w:val="11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ABC" w:rsidRPr="005109B5" w:rsidRDefault="005C6ABC" w:rsidP="00132AAC">
            <w:pPr>
              <w:pStyle w:val="af9"/>
              <w:ind w:left="113" w:right="113"/>
            </w:pPr>
            <w:r w:rsidRPr="005109B5">
              <w:t>Бупивакаин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0,75</w:t>
            </w:r>
            <w:r w:rsidR="005109B5" w:rsidRPr="005109B5">
              <w:t>%</w:t>
            </w:r>
            <w:r w:rsidRPr="005109B5">
              <w:t xml:space="preserve"> раствор в 8,25% растворе глюкозы</w:t>
            </w:r>
            <w:r w:rsidR="005109B5" w:rsidRPr="005109B5">
              <w:t xml:space="preserve">; </w:t>
            </w:r>
            <w:r w:rsidRPr="005109B5">
              <w:t>0,5</w:t>
            </w:r>
            <w:r w:rsidR="005109B5" w:rsidRPr="005109B5">
              <w:t>%</w:t>
            </w:r>
            <w:r w:rsidRPr="005109B5">
              <w:t xml:space="preserve"> раствор</w:t>
            </w:r>
            <w:r w:rsidRPr="005109B5">
              <w:rPr>
                <w:vertAlign w:val="superscript"/>
              </w:rPr>
              <w:t>1</w:t>
            </w:r>
            <w:r w:rsidR="005109B5" w:rsidRPr="005109B5">
              <w:t>,</w:t>
            </w:r>
            <w:r w:rsidRPr="005109B5">
              <w:t>0,75% раствор</w:t>
            </w:r>
            <w:r w:rsidRPr="005109B5">
              <w:rPr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4-6 мг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8-12 мг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12-20 мг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120-150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120-150</w:t>
            </w:r>
          </w:p>
        </w:tc>
      </w:tr>
    </w:tbl>
    <w:p w:rsidR="00132AAC" w:rsidRDefault="00132AAC" w:rsidP="00C90151">
      <w:pPr>
        <w:rPr>
          <w:vertAlign w:val="superscript"/>
        </w:rPr>
      </w:pPr>
    </w:p>
    <w:p w:rsidR="005109B5" w:rsidRDefault="005C6ABC" w:rsidP="005109B5">
      <w:r w:rsidRPr="005109B5">
        <w:rPr>
          <w:vertAlign w:val="superscript"/>
        </w:rPr>
        <w:t>1</w:t>
      </w:r>
      <w:r w:rsidRPr="005109B5">
        <w:t>В США для спинномозговой анестезии не применяется</w:t>
      </w:r>
      <w:r w:rsidR="005109B5" w:rsidRPr="005109B5">
        <w:t>.</w:t>
      </w:r>
    </w:p>
    <w:p w:rsidR="005109B5" w:rsidRDefault="005C6ABC" w:rsidP="005109B5">
      <w:r w:rsidRPr="005109B5">
        <w:t>Б</w:t>
      </w:r>
      <w:r w:rsidR="005109B5" w:rsidRPr="005109B5">
        <w:t xml:space="preserve">. </w:t>
      </w:r>
      <w:r w:rsidRPr="005109B5">
        <w:t>Тетракаин</w:t>
      </w:r>
      <w:r w:rsidR="005109B5" w:rsidRPr="005109B5">
        <w:t xml:space="preserve">. </w:t>
      </w:r>
      <w:r w:rsidRPr="005109B5">
        <w:t>Тетракаин</w:t>
      </w:r>
      <w:r w:rsidR="005109B5" w:rsidRPr="005109B5">
        <w:t xml:space="preserve"> - </w:t>
      </w:r>
      <w:r w:rsidRPr="005109B5">
        <w:t>это эфир, обладающий промежуточной скоростью наступления эффекта и обеспечивающий длительную блокаду</w:t>
      </w:r>
      <w:r w:rsidR="005109B5" w:rsidRPr="005109B5">
        <w:t xml:space="preserve">. </w:t>
      </w:r>
      <w:r w:rsidRPr="005109B5">
        <w:t>Самый популярный анестетик для спинномозговой анестезии</w:t>
      </w:r>
      <w:r w:rsidR="005109B5" w:rsidRPr="005109B5">
        <w:t xml:space="preserve">. </w:t>
      </w:r>
      <w:r w:rsidRPr="005109B5">
        <w:t>Добавление вазоконстрикторов позволяет увеличить продолжительность действия тетракаина</w:t>
      </w:r>
      <w:r w:rsidR="005109B5" w:rsidRPr="005109B5">
        <w:t xml:space="preserve">. </w:t>
      </w:r>
      <w:r w:rsidRPr="005109B5">
        <w:t>Выпускается в нескольких формах, которые используются в зависимости от показаний</w:t>
      </w:r>
      <w:r w:rsidR="005109B5" w:rsidRPr="005109B5">
        <w:t>.</w:t>
      </w:r>
    </w:p>
    <w:p w:rsidR="005109B5" w:rsidRDefault="005C6ABC" w:rsidP="005109B5">
      <w:r w:rsidRPr="005109B5">
        <w:t>В</w:t>
      </w:r>
      <w:r w:rsidR="005109B5" w:rsidRPr="005109B5">
        <w:t xml:space="preserve">. </w:t>
      </w:r>
      <w:r w:rsidRPr="005109B5">
        <w:t>Лидокаин</w:t>
      </w:r>
      <w:r w:rsidR="005109B5" w:rsidRPr="005109B5">
        <w:t xml:space="preserve">. </w:t>
      </w:r>
      <w:r w:rsidRPr="005109B5">
        <w:t>Лидокаин</w:t>
      </w:r>
      <w:r w:rsidR="005109B5" w:rsidRPr="005109B5">
        <w:t xml:space="preserve"> - </w:t>
      </w:r>
      <w:r w:rsidRPr="005109B5">
        <w:t>это амид, для которого характерно быстрое начало и короткая продолжительность действия, обеспечивает кратковременную мощную блокаду</w:t>
      </w:r>
      <w:r w:rsidR="005109B5" w:rsidRPr="005109B5">
        <w:t xml:space="preserve">. </w:t>
      </w:r>
      <w:r w:rsidRPr="005109B5">
        <w:t>Польза от добавления вазоконстрикторов сомнительна</w:t>
      </w:r>
      <w:r w:rsidR="005109B5" w:rsidRPr="005109B5">
        <w:t xml:space="preserve">: </w:t>
      </w:r>
      <w:r w:rsidRPr="005109B5">
        <w:t>в одних исследованиях это сопровождалось увеличением продолжительности действия, в других</w:t>
      </w:r>
      <w:r w:rsidR="005109B5" w:rsidRPr="005109B5">
        <w:t xml:space="preserve"> - </w:t>
      </w:r>
      <w:r w:rsidRPr="005109B5">
        <w:t>не сопровождалось</w:t>
      </w:r>
      <w:r w:rsidR="005109B5" w:rsidRPr="005109B5">
        <w:t>.</w:t>
      </w:r>
    </w:p>
    <w:p w:rsidR="005109B5" w:rsidRDefault="005C6ABC" w:rsidP="005109B5">
      <w:r w:rsidRPr="005109B5">
        <w:t>Г</w:t>
      </w:r>
      <w:r w:rsidR="005109B5" w:rsidRPr="005109B5">
        <w:t xml:space="preserve">. </w:t>
      </w:r>
      <w:r w:rsidRPr="005109B5">
        <w:t>Бупивакаин</w:t>
      </w:r>
      <w:r w:rsidR="005109B5" w:rsidRPr="005109B5">
        <w:t xml:space="preserve">. </w:t>
      </w:r>
      <w:r w:rsidRPr="005109B5">
        <w:t>Бупивакаин</w:t>
      </w:r>
      <w:r w:rsidR="005109B5" w:rsidRPr="005109B5">
        <w:t xml:space="preserve"> - </w:t>
      </w:r>
      <w:r w:rsidRPr="005109B5">
        <w:t>амид, для которого свойственно отсроченное начало действия и длительный эфф</w:t>
      </w:r>
      <w:r w:rsidR="009A7DB1" w:rsidRPr="005109B5">
        <w:t>ек</w:t>
      </w:r>
      <w:r w:rsidR="005109B5">
        <w:t>т.</w:t>
      </w:r>
      <w:r w:rsidR="00C90151">
        <w:t xml:space="preserve"> Д</w:t>
      </w:r>
      <w:r w:rsidR="009A7DB1" w:rsidRPr="005109B5">
        <w:t>обавление к раствору бупи</w:t>
      </w:r>
      <w:r w:rsidRPr="005109B5">
        <w:t>вакаина вазоконстрикторов не влияет на продолжительность блокады</w:t>
      </w:r>
      <w:r w:rsidR="005109B5" w:rsidRPr="005109B5">
        <w:t xml:space="preserve">. </w:t>
      </w:r>
      <w:r w:rsidRPr="005109B5">
        <w:t>В то время как в США бупивакаин для спинномозговой анестезии применяют только на основе глюкозосодержащих растворов, в Великобритании и в других странах Европы применяют чистые растворы для изобарической методики</w:t>
      </w:r>
      <w:r w:rsidR="005109B5" w:rsidRPr="005109B5">
        <w:t xml:space="preserve">. </w:t>
      </w:r>
      <w:r w:rsidRPr="005109B5">
        <w:t>Чистые растворы бупивакаина</w:t>
      </w:r>
      <w:r w:rsidR="005109B5">
        <w:t xml:space="preserve"> (т.е.</w:t>
      </w:r>
      <w:r w:rsidR="005109B5" w:rsidRPr="005109B5">
        <w:t xml:space="preserve"> </w:t>
      </w:r>
      <w:r w:rsidRPr="005109B5">
        <w:t>растворы без добавок</w:t>
      </w:r>
      <w:r w:rsidR="005109B5" w:rsidRPr="005109B5">
        <w:t xml:space="preserve">) </w:t>
      </w:r>
      <w:r w:rsidRPr="005109B5">
        <w:t>в США используют только для эпидуральной анестезии</w:t>
      </w:r>
      <w:r w:rsidR="005109B5" w:rsidRPr="005109B5">
        <w:t>.</w:t>
      </w:r>
    </w:p>
    <w:p w:rsidR="005C6ABC" w:rsidRPr="005109B5" w:rsidRDefault="005C6ABC" w:rsidP="005109B5">
      <w:r w:rsidRPr="005109B5">
        <w:t>Доза</w:t>
      </w:r>
      <w:r w:rsidR="00132AAC">
        <w:t>.</w:t>
      </w:r>
    </w:p>
    <w:p w:rsidR="005109B5" w:rsidRDefault="005C6ABC" w:rsidP="005109B5">
      <w:r w:rsidRPr="005109B5">
        <w:t>Другим фактором, существенно влияющим на качество спинномозговой анестезии, является доза анестетика</w:t>
      </w:r>
      <w:r w:rsidR="005109B5" w:rsidRPr="005109B5">
        <w:t xml:space="preserve">. </w:t>
      </w:r>
      <w:r w:rsidRPr="005109B5">
        <w:t>Доза зависит от свойств анестетика, характера и продолжительности операции</w:t>
      </w:r>
      <w:r w:rsidR="005109B5" w:rsidRPr="005109B5">
        <w:t xml:space="preserve">. </w:t>
      </w:r>
      <w:r w:rsidRPr="005109B5">
        <w:t>Кроме того, на выбор дозы влияет ожирение, беременность, положение больного на операционном столе</w:t>
      </w:r>
      <w:r w:rsidR="005109B5" w:rsidRPr="005109B5">
        <w:t>.</w:t>
      </w:r>
    </w:p>
    <w:p w:rsidR="005109B5" w:rsidRDefault="005C6ABC" w:rsidP="005109B5">
      <w:r w:rsidRPr="005109B5">
        <w:t>При ожирении повышено внутрибрюшное давление, что вызывает уменьшение объема цереброспинальной жидкости и эпидуральной</w:t>
      </w:r>
      <w:r w:rsidR="005109B5" w:rsidRPr="005109B5">
        <w:t xml:space="preserve">) </w:t>
      </w:r>
      <w:r w:rsidRPr="005109B5">
        <w:t>пространства, а также смещает вверх границу максимального распространения спинномозговой блокады</w:t>
      </w:r>
      <w:r w:rsidR="005109B5" w:rsidRPr="005109B5">
        <w:t xml:space="preserve">. </w:t>
      </w:r>
      <w:r w:rsidRPr="005109B5">
        <w:t>При беременности внутрибрюшное давление тоже увеличено, что вызывает застой в эпидуральном венозном сплетении и, следовательно, уменьшает объем эпидурального и субарахноидального пространства</w:t>
      </w:r>
      <w:r w:rsidR="005109B5" w:rsidRPr="005109B5">
        <w:t xml:space="preserve">. </w:t>
      </w:r>
      <w:r w:rsidRPr="005109B5">
        <w:t>Таким образом, при одной и той же дозе анестетика, при одинаковом телосложении и возрасте уровень блокады у беременной будет значительно выше, чем у небеременной</w:t>
      </w:r>
      <w:r w:rsidR="005109B5" w:rsidRPr="005109B5">
        <w:t xml:space="preserve">. </w:t>
      </w:r>
      <w:r w:rsidRPr="005109B5">
        <w:t>Объем эпидурального и субарахноидального пространства уменьшается с возрастом, поэтому при введении одинаковой дозы у пожилых больных анестетик распространяется более краниально, чем у молодых</w:t>
      </w:r>
      <w:r w:rsidR="005109B5" w:rsidRPr="005109B5">
        <w:t>.</w:t>
      </w:r>
    </w:p>
    <w:p w:rsidR="005C6ABC" w:rsidRPr="005109B5" w:rsidRDefault="005C6ABC" w:rsidP="005109B5">
      <w:r w:rsidRPr="005109B5">
        <w:t>Вазоконстрикторы</w:t>
      </w:r>
      <w:r w:rsidR="00132AAC">
        <w:t>.</w:t>
      </w:r>
    </w:p>
    <w:p w:rsidR="005109B5" w:rsidRDefault="005C6ABC" w:rsidP="005109B5">
      <w:r w:rsidRPr="005109B5">
        <w:t>Добавление вазоконстрикторов в раствор местного анестетика увеличивает продолжительность и интенсивность спинномозговой анестезии</w:t>
      </w:r>
      <w:r w:rsidR="005109B5" w:rsidRPr="005109B5">
        <w:t xml:space="preserve">. </w:t>
      </w:r>
      <w:r w:rsidRPr="005109B5">
        <w:t>Увеличение продолжительности спинномозговой анестезии под действием вазоконстрикторов зависит от свойств местного анестетика</w:t>
      </w:r>
      <w:r w:rsidR="005109B5" w:rsidRPr="005109B5">
        <w:t xml:space="preserve">. </w:t>
      </w:r>
      <w:r w:rsidRPr="005109B5">
        <w:t>Предполагаемый механизм заключается в локальном сужении сосудов и уменьшении абсорбции анестетика в системный кровоток</w:t>
      </w:r>
      <w:r w:rsidR="005109B5" w:rsidRPr="005109B5">
        <w:t xml:space="preserve">. </w:t>
      </w:r>
      <w:r w:rsidRPr="005109B5">
        <w:t>Чаще всего в качестве вазоконстриктора применяют адреналин, хотя эфедрин и фенилэфрин тоже оказывают подобное действие</w:t>
      </w:r>
      <w:r w:rsidR="005109B5" w:rsidRPr="005109B5">
        <w:t xml:space="preserve">. </w:t>
      </w:r>
      <w:r w:rsidRPr="005109B5">
        <w:t>Добавление адреналина увеличивает продолжительность тетракаиновой спинномозговой анестезии на 50</w:t>
      </w:r>
      <w:r w:rsidR="005109B5" w:rsidRPr="005109B5">
        <w:t xml:space="preserve">%. </w:t>
      </w:r>
      <w:r w:rsidRPr="005109B5">
        <w:t>В меньшей степени адреналин влияет на продолжительность действия прокаина, а длительность действия бупивакаина он вообще не изменяет</w:t>
      </w:r>
      <w:r w:rsidR="005109B5" w:rsidRPr="005109B5">
        <w:t xml:space="preserve">. </w:t>
      </w:r>
      <w:r w:rsidRPr="005109B5">
        <w:t>В исследованиях, посвященных влиянию вазоконстрикторов на спинномозговую лидокаиновую анестезию, получены противоречивые результаты</w:t>
      </w:r>
      <w:r w:rsidR="005109B5" w:rsidRPr="005109B5">
        <w:t xml:space="preserve">: </w:t>
      </w:r>
      <w:r w:rsidRPr="005109B5">
        <w:t>в одних случаях продолжительность действия увеличивалась на 30-50</w:t>
      </w:r>
      <w:r w:rsidR="005109B5" w:rsidRPr="005109B5">
        <w:t>%</w:t>
      </w:r>
      <w:r w:rsidRPr="005109B5">
        <w:t>, в других</w:t>
      </w:r>
      <w:r w:rsidR="005109B5" w:rsidRPr="005109B5">
        <w:t xml:space="preserve"> - </w:t>
      </w:r>
      <w:r w:rsidRPr="005109B5">
        <w:t>не менялась</w:t>
      </w:r>
      <w:r w:rsidR="005109B5" w:rsidRPr="005109B5">
        <w:t>.</w:t>
      </w:r>
    </w:p>
    <w:p w:rsidR="005109B5" w:rsidRDefault="005C6ABC" w:rsidP="005109B5">
      <w:r w:rsidRPr="005109B5">
        <w:t>Вазоконстрикторы увеличивают не только продолжительность, но и интенсивность, мощность блокады</w:t>
      </w:r>
      <w:r w:rsidR="005109B5" w:rsidRPr="005109B5">
        <w:t xml:space="preserve">. </w:t>
      </w:r>
      <w:r w:rsidRPr="005109B5">
        <w:t>Повышение концентрации адреналина в изобарическом растворе бупивакаина улучшает качество спинномозговой анестезии</w:t>
      </w:r>
      <w:r w:rsidR="005109B5" w:rsidRPr="005109B5">
        <w:t xml:space="preserve">. </w:t>
      </w:r>
      <w:r w:rsidRPr="005109B5">
        <w:t>При введении в субарахноидальное пространство адреналин сам оказывает местно-анестезирующее действие</w:t>
      </w:r>
      <w:r w:rsidR="005109B5" w:rsidRPr="005109B5">
        <w:t xml:space="preserve">. </w:t>
      </w:r>
      <w:r w:rsidRPr="005109B5">
        <w:t>Возможно, что на клеточном уровне вазоконстрикторы способствуют связыванию молекул местного анестетика с натриевыми каналами</w:t>
      </w:r>
      <w:r w:rsidR="005109B5" w:rsidRPr="005109B5">
        <w:t>.</w:t>
      </w:r>
    </w:p>
    <w:p w:rsidR="005C6ABC" w:rsidRPr="005109B5" w:rsidRDefault="005C6ABC" w:rsidP="005109B5">
      <w:r w:rsidRPr="005109B5">
        <w:t>Относительная плотность</w:t>
      </w:r>
      <w:r w:rsidR="00132AAC">
        <w:t>.</w:t>
      </w:r>
    </w:p>
    <w:p w:rsidR="005109B5" w:rsidRDefault="005C6ABC" w:rsidP="005109B5">
      <w:r w:rsidRPr="005109B5">
        <w:t>Относительная плотность раствора местного анестетика также существенно влияет на спинномозговую анестезию</w:t>
      </w:r>
      <w:r w:rsidR="005109B5" w:rsidRPr="005109B5">
        <w:t xml:space="preserve">. </w:t>
      </w:r>
      <w:r w:rsidRPr="005109B5">
        <w:t xml:space="preserve">Относительная плотность цереброспинальной жидкости при 37 </w:t>
      </w:r>
      <w:r w:rsidRPr="005109B5">
        <w:rPr>
          <w:vertAlign w:val="superscript"/>
        </w:rPr>
        <w:t>0</w:t>
      </w:r>
      <w:r w:rsidRPr="005109B5">
        <w:rPr>
          <w:lang w:val="en-US"/>
        </w:rPr>
        <w:t>C</w:t>
      </w:r>
      <w:r w:rsidRPr="005109B5">
        <w:t xml:space="preserve"> обычно колеблется от 1,003 до 1,008</w:t>
      </w:r>
      <w:r w:rsidR="005109B5">
        <w:t xml:space="preserve"> (</w:t>
      </w:r>
      <w:r w:rsidRPr="005109B5">
        <w:t>плотность воды принята за 1,000</w:t>
      </w:r>
      <w:r w:rsidR="005109B5" w:rsidRPr="005109B5">
        <w:t xml:space="preserve">). </w:t>
      </w:r>
      <w:r w:rsidRPr="005109B5">
        <w:t>Относительная плотность наиболее часто используемых растворов анестетиков для спинномозговой анестезии дана в табл</w:t>
      </w:r>
      <w:r w:rsidR="005109B5">
        <w:t>.1</w:t>
      </w:r>
      <w:r w:rsidRPr="005109B5">
        <w:t>6-4</w:t>
      </w:r>
      <w:r w:rsidR="005109B5" w:rsidRPr="005109B5">
        <w:t xml:space="preserve">. </w:t>
      </w:r>
      <w:r w:rsidRPr="005109B5">
        <w:t>Взаимовлияние относительной плотности местного анестетика и спинномозговой жидкости сказывается на распространении раствора вдоль длинной оси спинного мозга и на окончательном уровне блокады</w:t>
      </w:r>
      <w:r w:rsidR="005109B5" w:rsidRPr="005109B5">
        <w:t xml:space="preserve">. </w:t>
      </w:r>
      <w:r w:rsidRPr="005109B5">
        <w:t>Если относительная плотность раствора анестетика выше, чем плотность спинномозговой жидкости</w:t>
      </w:r>
      <w:r w:rsidR="005109B5">
        <w:t xml:space="preserve"> (</w:t>
      </w:r>
      <w:r w:rsidRPr="005109B5">
        <w:t>гипербарический раствор</w:t>
      </w:r>
      <w:r w:rsidR="005109B5" w:rsidRPr="005109B5">
        <w:t>),</w:t>
      </w:r>
      <w:r w:rsidRPr="005109B5">
        <w:t xml:space="preserve"> то под действием силы тяжести он перемещается вниз</w:t>
      </w:r>
      <w:r w:rsidR="005109B5" w:rsidRPr="005109B5">
        <w:t xml:space="preserve">; </w:t>
      </w:r>
      <w:r w:rsidRPr="005109B5">
        <w:t>если плотность раствора анестетика ниже</w:t>
      </w:r>
      <w:r w:rsidR="005109B5">
        <w:t xml:space="preserve"> (</w:t>
      </w:r>
      <w:r w:rsidRPr="005109B5">
        <w:t>гипобарический раствор</w:t>
      </w:r>
      <w:r w:rsidR="005109B5" w:rsidRPr="005109B5">
        <w:t>),</w:t>
      </w:r>
      <w:r w:rsidRPr="005109B5">
        <w:t xml:space="preserve"> то он распространяется вверх</w:t>
      </w:r>
      <w:r w:rsidR="005109B5" w:rsidRPr="005109B5">
        <w:t xml:space="preserve">. </w:t>
      </w:r>
      <w:r w:rsidRPr="005109B5">
        <w:t>Раствор, относительная плотность которого равна или близка к плотности цереброспинальной жидкости</w:t>
      </w:r>
      <w:r w:rsidR="005109B5">
        <w:rPr>
          <w:smallCaps/>
        </w:rPr>
        <w:t xml:space="preserve"> (</w:t>
      </w:r>
      <w:r w:rsidRPr="005109B5">
        <w:t>изобарический раствор</w:t>
      </w:r>
      <w:r w:rsidR="005109B5" w:rsidRPr="005109B5">
        <w:t>),</w:t>
      </w:r>
      <w:r w:rsidRPr="005109B5">
        <w:t xml:space="preserve"> будет оставаться на том уровне, куда он был введен</w:t>
      </w:r>
      <w:r w:rsidR="005109B5" w:rsidRPr="005109B5">
        <w:t>.</w:t>
      </w:r>
    </w:p>
    <w:p w:rsidR="005109B5" w:rsidRDefault="005C6ABC" w:rsidP="005109B5">
      <w:r w:rsidRPr="005109B5">
        <w:t>А</w:t>
      </w:r>
      <w:r w:rsidR="005109B5" w:rsidRPr="005109B5">
        <w:t xml:space="preserve">. </w:t>
      </w:r>
      <w:r w:rsidRPr="005109B5">
        <w:t>Гипербарические растворы</w:t>
      </w:r>
      <w:r w:rsidR="005109B5" w:rsidRPr="005109B5">
        <w:t xml:space="preserve">. </w:t>
      </w:r>
      <w:r w:rsidRPr="005109B5">
        <w:t>Чаще всего для спинномозговой анестезии применяют именно гипербарические растворы местных анестетиков</w:t>
      </w:r>
      <w:r w:rsidR="005109B5" w:rsidRPr="005109B5">
        <w:t xml:space="preserve">. </w:t>
      </w:r>
      <w:r w:rsidRPr="005109B5">
        <w:t>Необходимая относительная плотность обычно достигается смешиванием местного анестетика с раствором глюкозы</w:t>
      </w:r>
      <w:r w:rsidR="005109B5" w:rsidRPr="005109B5">
        <w:t xml:space="preserve">. </w:t>
      </w:r>
      <w:r w:rsidRPr="005109B5">
        <w:t>Имеются официнальные лекарственные формы местных анестетиков на основе раствора глюкозы, например бупивакаин на основе 8,25</w:t>
      </w:r>
      <w:r w:rsidR="005109B5" w:rsidRPr="005109B5">
        <w:t>%</w:t>
      </w:r>
      <w:r w:rsidRPr="005109B5">
        <w:t xml:space="preserve"> раствора или лидокаин</w:t>
      </w:r>
      <w:r w:rsidR="005109B5" w:rsidRPr="005109B5">
        <w:t xml:space="preserve"> - </w:t>
      </w:r>
      <w:r w:rsidRPr="005109B5">
        <w:t>на основе 7,5</w:t>
      </w:r>
      <w:r w:rsidR="005109B5" w:rsidRPr="005109B5">
        <w:t>%</w:t>
      </w:r>
      <w:r w:rsidRPr="005109B5">
        <w:t xml:space="preserve"> раствора, </w:t>
      </w:r>
      <w:r w:rsidR="009A7DB1" w:rsidRPr="005109B5">
        <w:t>Из табл</w:t>
      </w:r>
      <w:r w:rsidR="005109B5">
        <w:t>.2</w:t>
      </w:r>
      <w:r w:rsidRPr="005109B5">
        <w:t xml:space="preserve"> видно, что относительная плотность этих растворов значительно выше плотности цереброспинальной жидкости</w:t>
      </w:r>
      <w:r w:rsidR="005109B5" w:rsidRPr="005109B5">
        <w:t>.</w:t>
      </w:r>
    </w:p>
    <w:p w:rsidR="005109B5" w:rsidRDefault="005C6ABC" w:rsidP="005109B5">
      <w:r w:rsidRPr="005109B5">
        <w:t>Уровень гипербарической спинномозговой анестезии зависит от положения больного во время введения анестетика и сразу после него</w:t>
      </w:r>
      <w:r w:rsidR="005109B5" w:rsidRPr="005109B5">
        <w:t xml:space="preserve">. </w:t>
      </w:r>
      <w:r w:rsidRPr="005109B5">
        <w:t>Если больной сидит, то после инъекции анестетик распространяется главным образом в каудальном направлении</w:t>
      </w:r>
      <w:r w:rsidR="005109B5" w:rsidRPr="005109B5">
        <w:t xml:space="preserve">. </w:t>
      </w:r>
      <w:r w:rsidRPr="005109B5">
        <w:t>Верхняя граница блокады соответствуют уровню пункции, а нижняя зависит от степени миграции анестетика в каудальном направлении</w:t>
      </w:r>
      <w:r w:rsidR="005109B5" w:rsidRPr="005109B5">
        <w:t xml:space="preserve">. </w:t>
      </w:r>
      <w:r w:rsidRPr="005109B5">
        <w:t>Положение больного влияет на распространение анестетика, начиная с момента инъекции и на протяжении всего периода, когда в принципе возможна миграция раствора по субарахноидалъному пространству</w:t>
      </w:r>
      <w:r w:rsidR="005109B5" w:rsidRPr="005109B5">
        <w:t xml:space="preserve">. </w:t>
      </w:r>
      <w:r w:rsidRPr="005109B5">
        <w:t>Например, при</w:t>
      </w:r>
      <w:r w:rsidR="005109B5">
        <w:t xml:space="preserve"> "</w:t>
      </w:r>
      <w:r w:rsidRPr="005109B5">
        <w:t>седловидной</w:t>
      </w:r>
      <w:r w:rsidR="005109B5">
        <w:t>" (</w:t>
      </w:r>
      <w:r w:rsidRPr="005109B5">
        <w:t>промежностной</w:t>
      </w:r>
      <w:r w:rsidR="005109B5" w:rsidRPr="005109B5">
        <w:t xml:space="preserve">) </w:t>
      </w:r>
      <w:r w:rsidRPr="005109B5">
        <w:t>блокаде больной продолжает сидеть еще 3-5 мин после инъекции анестетика, в таком случае блокируются только нижние поясничные и крестцовые нервы</w:t>
      </w:r>
      <w:r w:rsidR="005109B5" w:rsidRPr="005109B5">
        <w:t xml:space="preserve">. </w:t>
      </w:r>
      <w:r w:rsidRPr="005109B5">
        <w:t>Если необходимости в седловидной блокаде нет, а для спинномозговой анестезии применяют гипербарический раствор и больной во время пункции сидит, то сразу же после инъекции анестетика его следует уложить на спину</w:t>
      </w:r>
      <w:r w:rsidR="005109B5" w:rsidRPr="005109B5">
        <w:t xml:space="preserve">. </w:t>
      </w:r>
      <w:r w:rsidRPr="005109B5">
        <w:t>В этом случае раствор анестетика, не успев полностью связаться с белками, под действием силы тяжести будет распространяться в соответствии с изгибами позвоночника</w:t>
      </w:r>
      <w:r w:rsidR="005109B5" w:rsidRPr="005109B5">
        <w:t xml:space="preserve">. </w:t>
      </w:r>
      <w:r w:rsidRPr="005109B5">
        <w:t xml:space="preserve">Из анатомии известно, что наиболее выступающая назад часть грудного кифоза соответствует уровню </w:t>
      </w:r>
      <w:r w:rsidRPr="005109B5">
        <w:rPr>
          <w:lang w:val="en-US"/>
        </w:rPr>
        <w:t>T</w:t>
      </w:r>
      <w:r w:rsidRPr="005109B5">
        <w:rPr>
          <w:vertAlign w:val="subscript"/>
          <w:lang w:val="en-US"/>
        </w:rPr>
        <w:t>IV</w:t>
      </w:r>
      <w:r w:rsidRPr="005109B5">
        <w:t>, и при введении полной дозы гипербарического раствора местного анестетика верхняя граница блокады будет проходить именно на этом уровне или немного ниже</w:t>
      </w:r>
      <w:r w:rsidR="005109B5" w:rsidRPr="005109B5">
        <w:t>.</w:t>
      </w:r>
    </w:p>
    <w:p w:rsidR="00132AAC" w:rsidRDefault="00132AAC" w:rsidP="005109B5"/>
    <w:p w:rsidR="005C6ABC" w:rsidRPr="005109B5" w:rsidRDefault="009A7DB1" w:rsidP="00132AAC">
      <w:pPr>
        <w:ind w:left="708" w:firstLine="12"/>
      </w:pPr>
      <w:r w:rsidRPr="005109B5">
        <w:t>ТАБЛИЦА 2</w:t>
      </w:r>
      <w:r w:rsidR="005109B5" w:rsidRPr="005109B5">
        <w:t xml:space="preserve">. </w:t>
      </w:r>
      <w:r w:rsidR="005C6ABC" w:rsidRPr="005109B5">
        <w:rPr>
          <w:i/>
          <w:iCs/>
        </w:rPr>
        <w:t>Относительная плотность растворов местных анестетиков, используемых для спинномозговой анестезии</w:t>
      </w:r>
      <w:r w:rsidR="005C6ABC" w:rsidRPr="005109B5">
        <w:rPr>
          <w:i/>
          <w:iCs/>
          <w:vertAlign w:val="superscript"/>
        </w:rPr>
        <w:t>1</w:t>
      </w:r>
    </w:p>
    <w:tbl>
      <w:tblPr>
        <w:tblW w:w="485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2"/>
        <w:gridCol w:w="2510"/>
      </w:tblGrid>
      <w:tr w:rsidR="005C6ABC" w:rsidRPr="005109B5">
        <w:trPr>
          <w:trHeight w:val="6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Анестетик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Плотность</w:t>
            </w:r>
          </w:p>
        </w:tc>
      </w:tr>
      <w:tr w:rsidR="005C6ABC" w:rsidRPr="005109B5">
        <w:trPr>
          <w:trHeight w:val="6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Прокаин 1,5% водный раствор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1,0052</w:t>
            </w:r>
          </w:p>
        </w:tc>
      </w:tr>
      <w:tr w:rsidR="005C6ABC" w:rsidRPr="005109B5">
        <w:trPr>
          <w:trHeight w:val="23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2,5</w:t>
            </w:r>
            <w:r w:rsidR="005109B5" w:rsidRPr="005109B5">
              <w:t>%</w:t>
            </w:r>
            <w:r w:rsidRPr="005109B5">
              <w:t xml:space="preserve"> раствор в 5</w:t>
            </w:r>
            <w:r w:rsidR="005109B5" w:rsidRPr="005109B5">
              <w:t>%</w:t>
            </w:r>
            <w:r w:rsidRPr="005109B5">
              <w:t xml:space="preserve"> растворе глюкозы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1,0203</w:t>
            </w:r>
          </w:p>
        </w:tc>
      </w:tr>
      <w:tr w:rsidR="005C6ABC" w:rsidRPr="005109B5">
        <w:trPr>
          <w:trHeight w:val="162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Лидокаин 2</w:t>
            </w:r>
            <w:r w:rsidR="005109B5" w:rsidRPr="005109B5">
              <w:t>%</w:t>
            </w:r>
            <w:r w:rsidRPr="005109B5">
              <w:t xml:space="preserve"> водный раствор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1,0066</w:t>
            </w:r>
          </w:p>
        </w:tc>
      </w:tr>
      <w:tr w:rsidR="005C6ABC" w:rsidRPr="005109B5">
        <w:trPr>
          <w:trHeight w:val="23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5</w:t>
            </w:r>
            <w:r w:rsidR="005109B5" w:rsidRPr="005109B5">
              <w:t>%</w:t>
            </w:r>
            <w:r w:rsidRPr="005109B5">
              <w:t xml:space="preserve"> раствор в 7,5</w:t>
            </w:r>
            <w:r w:rsidR="005109B5" w:rsidRPr="005109B5">
              <w:t>%</w:t>
            </w:r>
            <w:r w:rsidRPr="005109B5">
              <w:t xml:space="preserve"> растворе глюкозы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1,0333</w:t>
            </w:r>
          </w:p>
        </w:tc>
      </w:tr>
      <w:tr w:rsidR="005C6ABC" w:rsidRPr="005109B5">
        <w:trPr>
          <w:trHeight w:val="221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Тетракаин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</w:p>
        </w:tc>
      </w:tr>
      <w:tr w:rsidR="005C6ABC" w:rsidRPr="005109B5">
        <w:trPr>
          <w:trHeight w:val="23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0,5</w:t>
            </w:r>
            <w:r w:rsidR="005109B5" w:rsidRPr="005109B5">
              <w:t>%</w:t>
            </w:r>
            <w:r w:rsidRPr="005109B5">
              <w:t xml:space="preserve"> раствор в 5</w:t>
            </w:r>
            <w:r w:rsidR="005109B5" w:rsidRPr="005109B5">
              <w:t>%</w:t>
            </w:r>
            <w:r w:rsidRPr="005109B5">
              <w:t xml:space="preserve"> растворе глюкозы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1,0203</w:t>
            </w:r>
          </w:p>
        </w:tc>
      </w:tr>
      <w:tr w:rsidR="005C6ABC" w:rsidRPr="005109B5">
        <w:trPr>
          <w:trHeight w:val="131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Бупивакаин 0,5</w:t>
            </w:r>
            <w:r w:rsidR="005109B5" w:rsidRPr="005109B5">
              <w:t>%</w:t>
            </w:r>
            <w:r w:rsidRPr="005109B5">
              <w:t xml:space="preserve"> раствор в 8,25</w:t>
            </w:r>
            <w:r w:rsidR="005109B5" w:rsidRPr="005109B5">
              <w:t>%</w:t>
            </w:r>
            <w:r w:rsidRPr="005109B5">
              <w:t xml:space="preserve"> растворе глюкозы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1,0278</w:t>
            </w:r>
          </w:p>
        </w:tc>
      </w:tr>
      <w:tr w:rsidR="005C6ABC" w:rsidRPr="005109B5">
        <w:trPr>
          <w:trHeight w:val="8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0,5</w:t>
            </w:r>
            <w:r w:rsidR="005109B5" w:rsidRPr="005109B5">
              <w:t>%</w:t>
            </w:r>
            <w:r w:rsidRPr="005109B5">
              <w:t xml:space="preserve"> водный раствор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t>1,0058</w:t>
            </w:r>
          </w:p>
        </w:tc>
      </w:tr>
      <w:tr w:rsidR="005C6ABC" w:rsidRPr="005109B5">
        <w:trPr>
          <w:trHeight w:val="69"/>
          <w:jc w:val="center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BC" w:rsidRPr="005109B5" w:rsidRDefault="005C6ABC" w:rsidP="00132AAC">
            <w:pPr>
              <w:pStyle w:val="af9"/>
            </w:pPr>
            <w:r w:rsidRPr="005109B5">
              <w:rPr>
                <w:vertAlign w:val="superscript"/>
              </w:rPr>
              <w:t>1</w:t>
            </w:r>
            <w:r w:rsidRPr="005109B5">
              <w:t>Из</w:t>
            </w:r>
            <w:r w:rsidR="005109B5" w:rsidRPr="005109B5">
              <w:t xml:space="preserve">: </w:t>
            </w:r>
            <w:r w:rsidRPr="005109B5">
              <w:t>Сгее</w:t>
            </w:r>
            <w:r w:rsidRPr="005109B5">
              <w:rPr>
                <w:lang w:val="en-US"/>
              </w:rPr>
              <w:t>n</w:t>
            </w:r>
            <w:r w:rsidRPr="005109B5">
              <w:t xml:space="preserve">е </w:t>
            </w:r>
            <w:r w:rsidRPr="005109B5">
              <w:rPr>
                <w:lang w:val="en-US"/>
              </w:rPr>
              <w:t>N</w:t>
            </w:r>
            <w:r w:rsidR="005109B5" w:rsidRPr="005109B5">
              <w:t xml:space="preserve">. </w:t>
            </w:r>
            <w:r w:rsidRPr="005109B5">
              <w:rPr>
                <w:lang w:val="en-US"/>
              </w:rPr>
              <w:t>M</w:t>
            </w:r>
            <w:r w:rsidR="005109B5" w:rsidRPr="005109B5">
              <w:t xml:space="preserve">. </w:t>
            </w:r>
            <w:r w:rsidRPr="005109B5">
              <w:rPr>
                <w:lang w:val="en-US"/>
              </w:rPr>
              <w:t>Anesth</w:t>
            </w:r>
            <w:r w:rsidR="005109B5" w:rsidRPr="005109B5">
              <w:t xml:space="preserve">. </w:t>
            </w:r>
            <w:r w:rsidRPr="005109B5">
              <w:rPr>
                <w:lang w:val="en-US"/>
              </w:rPr>
              <w:t>Analg</w:t>
            </w:r>
            <w:r w:rsidR="005109B5" w:rsidRPr="005109B5">
              <w:t>., 19</w:t>
            </w:r>
            <w:r w:rsidRPr="005109B5">
              <w:t>85</w:t>
            </w:r>
            <w:r w:rsidR="005109B5" w:rsidRPr="005109B5">
              <w:t xml:space="preserve">; </w:t>
            </w:r>
            <w:r w:rsidRPr="005109B5">
              <w:t>64</w:t>
            </w:r>
            <w:r w:rsidR="005109B5" w:rsidRPr="005109B5">
              <w:t xml:space="preserve">: </w:t>
            </w:r>
            <w:r w:rsidRPr="005109B5">
              <w:t>71 5</w:t>
            </w:r>
            <w:r w:rsidR="005109B5" w:rsidRPr="005109B5">
              <w:t xml:space="preserve">. </w:t>
            </w:r>
          </w:p>
        </w:tc>
      </w:tr>
    </w:tbl>
    <w:p w:rsidR="00132AAC" w:rsidRDefault="00132AAC" w:rsidP="005109B5"/>
    <w:p w:rsidR="005109B5" w:rsidRDefault="005C6ABC" w:rsidP="005109B5">
      <w:r w:rsidRPr="005109B5">
        <w:t>При положении на боку</w:t>
      </w:r>
      <w:r w:rsidR="005109B5">
        <w:t xml:space="preserve"> (</w:t>
      </w:r>
      <w:r w:rsidRPr="005109B5">
        <w:t>на стороне оперируемой ноги</w:t>
      </w:r>
      <w:r w:rsidR="005109B5" w:rsidRPr="005109B5">
        <w:t xml:space="preserve">) </w:t>
      </w:r>
      <w:r w:rsidRPr="005109B5">
        <w:t>распределение анестетика будет иным</w:t>
      </w:r>
      <w:r w:rsidR="005109B5" w:rsidRPr="005109B5">
        <w:t xml:space="preserve">. </w:t>
      </w:r>
      <w:r w:rsidRPr="005109B5">
        <w:t>Теоретически, если после введения анестетика больной находится в этом положении еще 3-5 мин, то блокада нижерасположенной конечности должна быть гораздо мощнее и продолжительнее, чем вышерасположенной</w:t>
      </w:r>
      <w:r w:rsidR="005109B5" w:rsidRPr="005109B5">
        <w:t xml:space="preserve">. </w:t>
      </w:r>
      <w:r w:rsidRPr="005109B5">
        <w:t>На практике, однако, наступает адекватная блокада и вышерасположенной конечности, и соответствующих органов брюшной полости</w:t>
      </w:r>
      <w:r w:rsidR="005109B5">
        <w:rPr>
          <w:smallCaps/>
        </w:rPr>
        <w:t xml:space="preserve"> (</w:t>
      </w:r>
      <w:r w:rsidRPr="005109B5">
        <w:t>хотя степень блокады нижерасположенной конечности может быть несколько интенсивнее</w:t>
      </w:r>
      <w:r w:rsidR="005109B5" w:rsidRPr="005109B5">
        <w:t xml:space="preserve">). </w:t>
      </w:r>
      <w:r w:rsidRPr="005109B5">
        <w:t>Таким образом, клинический опыт не подтверждает концепцию изолированной односторонней спинномозговой анестезии</w:t>
      </w:r>
      <w:r w:rsidR="005109B5" w:rsidRPr="005109B5">
        <w:t>.</w:t>
      </w:r>
    </w:p>
    <w:p w:rsidR="005109B5" w:rsidRDefault="005C6ABC" w:rsidP="005109B5">
      <w:r w:rsidRPr="005109B5">
        <w:t>На распространение гипербарического раствора влияют и другие факторы</w:t>
      </w:r>
      <w:r w:rsidR="005109B5" w:rsidRPr="005109B5">
        <w:t xml:space="preserve">. </w:t>
      </w:r>
      <w:r w:rsidRPr="005109B5">
        <w:t>Например, можно придать возвышенное положение ногам больного или попросить его выполнить процедуры, повышающие внутрибрюшное давление</w:t>
      </w:r>
      <w:r w:rsidR="005109B5">
        <w:t xml:space="preserve"> (</w:t>
      </w:r>
      <w:r w:rsidRPr="005109B5">
        <w:t>например, пробу Вальсальвы</w:t>
      </w:r>
      <w:r w:rsidR="005109B5" w:rsidRPr="005109B5">
        <w:t xml:space="preserve">). </w:t>
      </w:r>
      <w:r w:rsidRPr="005109B5">
        <w:t>При своевременном проведении эти мероприятия способствуют смещению раствора анестетика в краниальном направлении</w:t>
      </w:r>
      <w:r w:rsidR="005109B5" w:rsidRPr="005109B5">
        <w:t xml:space="preserve">. </w:t>
      </w:r>
      <w:r w:rsidRPr="005109B5">
        <w:t>Попросив больного согнуть шею сразу после инъекции анестетика, можно, напротив, воспрепятствовать его распространению краниальнее шейного лордоза</w:t>
      </w:r>
      <w:r w:rsidR="005109B5" w:rsidRPr="005109B5">
        <w:t>.</w:t>
      </w:r>
    </w:p>
    <w:p w:rsidR="005109B5" w:rsidRDefault="005C6ABC" w:rsidP="005109B5">
      <w:r w:rsidRPr="005109B5">
        <w:t>Б</w:t>
      </w:r>
      <w:r w:rsidR="005109B5" w:rsidRPr="005109B5">
        <w:t xml:space="preserve">. </w:t>
      </w:r>
      <w:r w:rsidRPr="005109B5">
        <w:t>Гипобарические растворы</w:t>
      </w:r>
      <w:r w:rsidR="005109B5" w:rsidRPr="005109B5">
        <w:t xml:space="preserve">. </w:t>
      </w:r>
      <w:r w:rsidRPr="005109B5">
        <w:t>Чаще всего применяют гипобарические растворы тетракаина</w:t>
      </w:r>
      <w:r w:rsidR="005109B5" w:rsidRPr="005109B5">
        <w:t xml:space="preserve">. </w:t>
      </w:r>
      <w:r w:rsidRPr="005109B5">
        <w:t>После смешивания с водой относительная плотность раствора тетракаина будет ниже</w:t>
      </w:r>
      <w:r w:rsidRPr="005109B5">
        <w:rPr>
          <w:smallCaps/>
        </w:rPr>
        <w:t xml:space="preserve"> </w:t>
      </w:r>
      <w:r w:rsidRPr="005109B5">
        <w:t>плотности цереброспинальной жидкости</w:t>
      </w:r>
      <w:r w:rsidR="005109B5" w:rsidRPr="005109B5">
        <w:t xml:space="preserve">. </w:t>
      </w:r>
      <w:r w:rsidRPr="005109B5">
        <w:t>Поступая в субарахноидальное пространство, гипобарический раствор будет распространяться вверх от места инъекции</w:t>
      </w:r>
      <w:r w:rsidR="005109B5" w:rsidRPr="005109B5">
        <w:t xml:space="preserve">. </w:t>
      </w:r>
      <w:r w:rsidRPr="005109B5">
        <w:t>Классическая область применения этой методики</w:t>
      </w:r>
      <w:r w:rsidR="005109B5" w:rsidRPr="005109B5">
        <w:t xml:space="preserve"> - </w:t>
      </w:r>
      <w:r w:rsidRPr="005109B5">
        <w:t>операции на толстой и прямой кишке, когда больной лежит на животе и голова его расположена ниже таза</w:t>
      </w:r>
      <w:r w:rsidR="005109B5" w:rsidRPr="005109B5">
        <w:t xml:space="preserve">. </w:t>
      </w:r>
      <w:r w:rsidRPr="005109B5">
        <w:t>После люмбальной пункции и инъекции раствор анестетика будет мигрировать вверх и каудально, поэтому верхняя граница блокады будет соответствовать уровню инъекции, а нижняя</w:t>
      </w:r>
      <w:r w:rsidR="005109B5" w:rsidRPr="005109B5">
        <w:t xml:space="preserve"> - </w:t>
      </w:r>
      <w:r w:rsidRPr="005109B5">
        <w:t>распространяться на крестцовые дерматомы</w:t>
      </w:r>
      <w:r w:rsidR="005109B5" w:rsidRPr="005109B5">
        <w:t xml:space="preserve">. </w:t>
      </w:r>
      <w:r w:rsidRPr="005109B5">
        <w:t xml:space="preserve">Эта методика позволяет мощно </w:t>
      </w:r>
      <w:r w:rsidRPr="005109B5">
        <w:rPr>
          <w:smallCaps/>
          <w:lang w:val="en-US"/>
        </w:rPr>
        <w:t>pi</w:t>
      </w:r>
      <w:r w:rsidRPr="005109B5">
        <w:rPr>
          <w:smallCaps/>
        </w:rPr>
        <w:t xml:space="preserve"> </w:t>
      </w:r>
      <w:r w:rsidRPr="005109B5">
        <w:t>надежно блокировать корешки крестцовых нервов</w:t>
      </w:r>
      <w:r w:rsidR="005109B5" w:rsidRPr="005109B5">
        <w:t xml:space="preserve">. </w:t>
      </w:r>
      <w:r w:rsidRPr="005109B5">
        <w:t>Раствор можно разводить до 0,3</w:t>
      </w:r>
      <w:r w:rsidR="005109B5" w:rsidRPr="005109B5">
        <w:t>%</w:t>
      </w:r>
      <w:r w:rsidRPr="005109B5">
        <w:t>, при дальнейшем разведении сенсорная блокада будет слишком слабой</w:t>
      </w:r>
      <w:r w:rsidR="005109B5" w:rsidRPr="005109B5">
        <w:t>.</w:t>
      </w:r>
    </w:p>
    <w:p w:rsidR="005109B5" w:rsidRDefault="005C6ABC" w:rsidP="005109B5">
      <w:r w:rsidRPr="005109B5">
        <w:t>В</w:t>
      </w:r>
      <w:r w:rsidR="005109B5" w:rsidRPr="005109B5">
        <w:t xml:space="preserve">. </w:t>
      </w:r>
      <w:r w:rsidRPr="005109B5">
        <w:t>Изобарические растворы</w:t>
      </w:r>
      <w:r w:rsidR="005109B5" w:rsidRPr="005109B5">
        <w:t xml:space="preserve">. </w:t>
      </w:r>
      <w:r w:rsidRPr="005109B5">
        <w:t>Используют изобарические растворы тетракаина, лидокаина и бупивакаина</w:t>
      </w:r>
      <w:r w:rsidR="005109B5" w:rsidRPr="005109B5">
        <w:t xml:space="preserve">. </w:t>
      </w:r>
      <w:r w:rsidRPr="005109B5">
        <w:t>Наиболее изученный анестетик</w:t>
      </w:r>
      <w:r w:rsidR="005109B5" w:rsidRPr="005109B5">
        <w:t xml:space="preserve"> - </w:t>
      </w:r>
      <w:r w:rsidRPr="005109B5">
        <w:t>это бупивакаин, 0,5</w:t>
      </w:r>
      <w:r w:rsidR="005109B5" w:rsidRPr="005109B5">
        <w:t>%</w:t>
      </w:r>
      <w:r w:rsidRPr="005109B5">
        <w:t xml:space="preserve"> раствор которого является изобарическим при комнатной температуре и слабо гипобарическим при 37 </w:t>
      </w:r>
      <w:r w:rsidRPr="005109B5">
        <w:rPr>
          <w:vertAlign w:val="superscript"/>
        </w:rPr>
        <w:t>0</w:t>
      </w:r>
      <w:r w:rsidRPr="005109B5">
        <w:rPr>
          <w:lang w:val="en-US"/>
        </w:rPr>
        <w:t>C</w:t>
      </w:r>
      <w:r w:rsidR="005109B5" w:rsidRPr="005109B5">
        <w:t xml:space="preserve">. </w:t>
      </w:r>
      <w:r w:rsidRPr="005109B5">
        <w:t>Если препарат вводят на уровне поясничного отдела, после чего больной продолжает сидеть еще 2-3 мин, то сенсорная блокада распространяется на два или четыре сегмента выше уровня инъекции анестетика</w:t>
      </w:r>
      <w:r w:rsidR="005109B5" w:rsidRPr="005109B5">
        <w:t xml:space="preserve">. </w:t>
      </w:r>
      <w:r w:rsidRPr="005109B5">
        <w:t>На блокаду влияют такие факторы, как скорость инъекции, температура и объем раствора, а также общая доза анестетика</w:t>
      </w:r>
      <w:r w:rsidR="005109B5" w:rsidRPr="005109B5">
        <w:t xml:space="preserve">. </w:t>
      </w:r>
      <w:r w:rsidRPr="005109B5">
        <w:t>Классическая изобарическая спинномозговая анестезия обеспечивает глубокую блокаду на нижнегрудном, поясничном и крестцовом уровнях, что идеально подходит для вмешательств на промежности, мочеполовой системе и нижних конечностях</w:t>
      </w:r>
      <w:r w:rsidR="005109B5" w:rsidRPr="005109B5">
        <w:t xml:space="preserve">. </w:t>
      </w:r>
      <w:r w:rsidRPr="005109B5">
        <w:t>Симпатическая блокада не распространяется на верхние грудные сегменты, поэтому гемодинамические сдвиги незначительны</w:t>
      </w:r>
      <w:r w:rsidR="005109B5" w:rsidRPr="005109B5">
        <w:t>.</w:t>
      </w:r>
    </w:p>
    <w:p w:rsidR="005109B5" w:rsidRDefault="00677AD3" w:rsidP="00677AD3">
      <w:pPr>
        <w:pStyle w:val="2"/>
      </w:pPr>
      <w:r>
        <w:br w:type="page"/>
      </w:r>
      <w:bookmarkStart w:id="5" w:name="_Toc248947064"/>
      <w:r w:rsidR="005109B5">
        <w:t>Литература</w:t>
      </w:r>
      <w:bookmarkEnd w:id="5"/>
    </w:p>
    <w:p w:rsidR="00677AD3" w:rsidRDefault="00677AD3" w:rsidP="005109B5"/>
    <w:p w:rsidR="009C70A4" w:rsidRPr="005109B5" w:rsidRDefault="005109B5" w:rsidP="00677AD3">
      <w:pPr>
        <w:pStyle w:val="a0"/>
      </w:pPr>
      <w:r>
        <w:t>"</w:t>
      </w:r>
      <w:r w:rsidR="009C70A4" w:rsidRPr="005109B5">
        <w:t>Неотложная медицинская помощь</w:t>
      </w:r>
      <w:r>
        <w:t xml:space="preserve">", </w:t>
      </w:r>
      <w:r w:rsidR="009C70A4" w:rsidRPr="005109B5">
        <w:t>под ред</w:t>
      </w:r>
      <w:r w:rsidRPr="005109B5">
        <w:t xml:space="preserve">. </w:t>
      </w:r>
      <w:r w:rsidR="009C70A4" w:rsidRPr="005109B5">
        <w:t>Дж</w:t>
      </w:r>
      <w:r>
        <w:t xml:space="preserve">.Э. </w:t>
      </w:r>
      <w:r w:rsidR="009C70A4" w:rsidRPr="005109B5">
        <w:t>Тинтиналли, Рл</w:t>
      </w:r>
      <w:r w:rsidRPr="005109B5">
        <w:t xml:space="preserve">. </w:t>
      </w:r>
      <w:r w:rsidR="009C70A4" w:rsidRPr="005109B5">
        <w:t>Кроума, Э</w:t>
      </w:r>
      <w:r w:rsidRPr="005109B5">
        <w:t xml:space="preserve">. </w:t>
      </w:r>
      <w:r w:rsidR="009C70A4" w:rsidRPr="005109B5">
        <w:t>Руиза, Перевод с английского д-ра мед</w:t>
      </w:r>
      <w:r w:rsidRPr="005109B5">
        <w:t xml:space="preserve">. </w:t>
      </w:r>
      <w:r w:rsidR="009C70A4" w:rsidRPr="005109B5">
        <w:t>наук В</w:t>
      </w:r>
      <w:r>
        <w:t xml:space="preserve">.И. </w:t>
      </w:r>
      <w:r w:rsidR="009C70A4" w:rsidRPr="005109B5">
        <w:t>Кандрора, д</w:t>
      </w:r>
      <w:r w:rsidRPr="005109B5">
        <w:t xml:space="preserve">. </w:t>
      </w:r>
      <w:r w:rsidR="009C70A4" w:rsidRPr="005109B5">
        <w:t>м</w:t>
      </w:r>
      <w:r w:rsidRPr="005109B5">
        <w:t xml:space="preserve">. </w:t>
      </w:r>
      <w:r w:rsidR="009C70A4" w:rsidRPr="005109B5">
        <w:t>н</w:t>
      </w:r>
      <w:r w:rsidRPr="005109B5">
        <w:t xml:space="preserve">. </w:t>
      </w:r>
      <w:r w:rsidR="009C70A4" w:rsidRPr="005109B5">
        <w:t>М</w:t>
      </w:r>
      <w:r>
        <w:t xml:space="preserve">.В. </w:t>
      </w:r>
      <w:r w:rsidR="009C70A4" w:rsidRPr="005109B5">
        <w:t>Неверовой, д-ра мед</w:t>
      </w:r>
      <w:r w:rsidRPr="005109B5">
        <w:t xml:space="preserve">. </w:t>
      </w:r>
      <w:r w:rsidR="009C70A4" w:rsidRPr="005109B5">
        <w:t>наук А</w:t>
      </w:r>
      <w:r>
        <w:t xml:space="preserve">.В. </w:t>
      </w:r>
      <w:r w:rsidR="009C70A4" w:rsidRPr="005109B5">
        <w:t>Сучкова, к</w:t>
      </w:r>
      <w:r w:rsidRPr="005109B5">
        <w:t xml:space="preserve">. </w:t>
      </w:r>
      <w:r w:rsidR="009C70A4" w:rsidRPr="005109B5">
        <w:t>м</w:t>
      </w:r>
      <w:r w:rsidRPr="005109B5">
        <w:t xml:space="preserve">. </w:t>
      </w:r>
      <w:r w:rsidR="009C70A4" w:rsidRPr="005109B5">
        <w:t>н</w:t>
      </w:r>
      <w:r w:rsidRPr="005109B5">
        <w:t xml:space="preserve">. </w:t>
      </w:r>
      <w:r w:rsidR="009C70A4" w:rsidRPr="005109B5">
        <w:t>А</w:t>
      </w:r>
      <w:r>
        <w:t xml:space="preserve">.В. </w:t>
      </w:r>
      <w:r w:rsidR="009C70A4" w:rsidRPr="005109B5">
        <w:t>Низового, Ю</w:t>
      </w:r>
      <w:r>
        <w:t xml:space="preserve">.Л. </w:t>
      </w:r>
      <w:r w:rsidR="009C70A4" w:rsidRPr="005109B5">
        <w:t>Амченкова</w:t>
      </w:r>
      <w:r w:rsidRPr="005109B5">
        <w:t xml:space="preserve">; </w:t>
      </w:r>
      <w:r w:rsidR="009C70A4" w:rsidRPr="005109B5">
        <w:t>под ред</w:t>
      </w:r>
      <w:r>
        <w:t>.</w:t>
      </w:r>
      <w:r w:rsidR="00C90151">
        <w:t xml:space="preserve"> д</w:t>
      </w:r>
      <w:r>
        <w:t xml:space="preserve">. </w:t>
      </w:r>
      <w:r w:rsidR="009C70A4" w:rsidRPr="005109B5">
        <w:t>м</w:t>
      </w:r>
      <w:r w:rsidRPr="005109B5">
        <w:t xml:space="preserve">. </w:t>
      </w:r>
      <w:r w:rsidR="009C70A4" w:rsidRPr="005109B5">
        <w:t>н</w:t>
      </w:r>
      <w:r>
        <w:t>.</w:t>
      </w:r>
      <w:r w:rsidR="00C90151">
        <w:t xml:space="preserve"> </w:t>
      </w:r>
      <w:r>
        <w:t xml:space="preserve">В.Т. </w:t>
      </w:r>
      <w:r w:rsidR="009C70A4" w:rsidRPr="005109B5">
        <w:t xml:space="preserve">Ивашкина, </w:t>
      </w:r>
      <w:r w:rsidR="00C90151" w:rsidRPr="005109B5">
        <w:t>д</w:t>
      </w:r>
      <w:r w:rsidR="00C90151">
        <w:t>.м.</w:t>
      </w:r>
      <w:r w:rsidR="00C90151" w:rsidRPr="005109B5">
        <w:t>н</w:t>
      </w:r>
      <w:r>
        <w:t>.</w:t>
      </w:r>
      <w:r w:rsidR="00C90151">
        <w:t xml:space="preserve"> </w:t>
      </w:r>
      <w:r>
        <w:t xml:space="preserve">П.Г. </w:t>
      </w:r>
      <w:r w:rsidR="009C70A4" w:rsidRPr="005109B5">
        <w:t>Брюсова</w:t>
      </w:r>
      <w:r w:rsidRPr="005109B5">
        <w:t xml:space="preserve">; </w:t>
      </w:r>
      <w:r w:rsidR="009C70A4" w:rsidRPr="005109B5">
        <w:t>Москва</w:t>
      </w:r>
      <w:r>
        <w:t xml:space="preserve"> "</w:t>
      </w:r>
      <w:r w:rsidR="009C70A4" w:rsidRPr="005109B5">
        <w:t>Медицина</w:t>
      </w:r>
      <w:r>
        <w:t xml:space="preserve">" </w:t>
      </w:r>
      <w:r w:rsidR="009C70A4" w:rsidRPr="005109B5">
        <w:t>2001</w:t>
      </w:r>
    </w:p>
    <w:p w:rsidR="005109B5" w:rsidRDefault="009C70A4" w:rsidP="00677AD3">
      <w:pPr>
        <w:pStyle w:val="a0"/>
      </w:pPr>
      <w:r w:rsidRPr="005109B5">
        <w:t>Интенсивная терапия</w:t>
      </w:r>
      <w:r w:rsidR="005109B5" w:rsidRPr="005109B5">
        <w:t xml:space="preserve">. </w:t>
      </w:r>
      <w:r w:rsidRPr="005109B5">
        <w:t>Реанимация</w:t>
      </w:r>
      <w:r w:rsidR="005109B5" w:rsidRPr="005109B5">
        <w:t xml:space="preserve">. </w:t>
      </w:r>
      <w:r w:rsidRPr="005109B5">
        <w:t>Первая помощь</w:t>
      </w:r>
      <w:r w:rsidR="005109B5" w:rsidRPr="005109B5">
        <w:t xml:space="preserve">: </w:t>
      </w:r>
      <w:r w:rsidRPr="005109B5">
        <w:t>Учебное пособие / Под ред</w:t>
      </w:r>
      <w:r w:rsidR="005109B5">
        <w:t>.</w:t>
      </w:r>
      <w:r w:rsidR="00C90151">
        <w:t xml:space="preserve"> </w:t>
      </w:r>
      <w:r w:rsidR="005109B5">
        <w:t xml:space="preserve">В.Д. </w:t>
      </w:r>
      <w:r w:rsidRPr="005109B5">
        <w:t>Малышева</w:t>
      </w:r>
      <w:r w:rsidR="005109B5" w:rsidRPr="005109B5">
        <w:t>. -</w:t>
      </w:r>
      <w:r w:rsidR="005109B5">
        <w:t xml:space="preserve"> </w:t>
      </w:r>
      <w:r w:rsidRPr="005109B5">
        <w:t>М</w:t>
      </w:r>
      <w:r w:rsidR="005109B5">
        <w:t>.:</w:t>
      </w:r>
      <w:r w:rsidR="005109B5" w:rsidRPr="005109B5">
        <w:t xml:space="preserve"> </w:t>
      </w:r>
      <w:r w:rsidRPr="005109B5">
        <w:t>Медицина</w:t>
      </w:r>
      <w:r w:rsidR="005109B5" w:rsidRPr="005109B5">
        <w:t>. -</w:t>
      </w:r>
      <w:r w:rsidR="005109B5">
        <w:t xml:space="preserve"> </w:t>
      </w:r>
      <w:r w:rsidRPr="005109B5">
        <w:t>2000</w:t>
      </w:r>
      <w:r w:rsidR="005109B5" w:rsidRPr="005109B5">
        <w:t>. -</w:t>
      </w:r>
      <w:r w:rsidR="005109B5">
        <w:t xml:space="preserve"> </w:t>
      </w:r>
      <w:r w:rsidRPr="005109B5">
        <w:t>464 с</w:t>
      </w:r>
      <w:r w:rsidR="005109B5">
        <w:t>.:</w:t>
      </w:r>
      <w:r w:rsidR="005109B5" w:rsidRPr="005109B5">
        <w:t xml:space="preserve"> </w:t>
      </w:r>
      <w:r w:rsidRPr="005109B5">
        <w:t>ил</w:t>
      </w:r>
      <w:r w:rsidR="005109B5" w:rsidRPr="005109B5">
        <w:t>. -</w:t>
      </w:r>
      <w:r w:rsidR="005109B5">
        <w:t xml:space="preserve"> </w:t>
      </w:r>
      <w:r w:rsidRPr="005109B5">
        <w:t>Учеб</w:t>
      </w:r>
      <w:r w:rsidR="005109B5" w:rsidRPr="005109B5">
        <w:t xml:space="preserve">. </w:t>
      </w:r>
      <w:r w:rsidRPr="005109B5">
        <w:t>ли</w:t>
      </w:r>
      <w:r w:rsidR="005109B5">
        <w:t>т.</w:t>
      </w:r>
      <w:r w:rsidR="00C90151">
        <w:t xml:space="preserve"> </w:t>
      </w:r>
      <w:r w:rsidR="005109B5">
        <w:t>д</w:t>
      </w:r>
      <w:r w:rsidRPr="005109B5">
        <w:t>ля слушателей системы последипломного образования</w:t>
      </w:r>
      <w:r w:rsidR="005109B5" w:rsidRPr="005109B5">
        <w:t>. -</w:t>
      </w:r>
      <w:r w:rsidR="005109B5">
        <w:t xml:space="preserve"> </w:t>
      </w:r>
      <w:r w:rsidRPr="005109B5">
        <w:rPr>
          <w:lang w:val="en-US"/>
        </w:rPr>
        <w:t>ISBN</w:t>
      </w:r>
      <w:r w:rsidRPr="005109B5">
        <w:t xml:space="preserve"> 5-225-04560-Х</w:t>
      </w:r>
    </w:p>
    <w:p w:rsidR="005C6ABC" w:rsidRPr="005109B5" w:rsidRDefault="005C6ABC" w:rsidP="005109B5">
      <w:bookmarkStart w:id="6" w:name="_GoBack"/>
      <w:bookmarkEnd w:id="6"/>
    </w:p>
    <w:sectPr w:rsidR="005C6ABC" w:rsidRPr="005109B5" w:rsidSect="005109B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9B" w:rsidRDefault="00364D9B">
      <w:r>
        <w:separator/>
      </w:r>
    </w:p>
  </w:endnote>
  <w:endnote w:type="continuationSeparator" w:id="0">
    <w:p w:rsidR="00364D9B" w:rsidRDefault="0036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AC" w:rsidRDefault="00132AAC" w:rsidP="009A7D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9B" w:rsidRDefault="00364D9B">
      <w:r>
        <w:separator/>
      </w:r>
    </w:p>
  </w:footnote>
  <w:footnote w:type="continuationSeparator" w:id="0">
    <w:p w:rsidR="00364D9B" w:rsidRDefault="0036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AC" w:rsidRDefault="003369EE" w:rsidP="005109B5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32AAC" w:rsidRDefault="00132AAC" w:rsidP="005109B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DD1FDE"/>
    <w:multiLevelType w:val="hybridMultilevel"/>
    <w:tmpl w:val="AF804A7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4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ABC"/>
    <w:rsid w:val="00132AAC"/>
    <w:rsid w:val="002556BA"/>
    <w:rsid w:val="002601CA"/>
    <w:rsid w:val="003369EE"/>
    <w:rsid w:val="00364D9B"/>
    <w:rsid w:val="003A675D"/>
    <w:rsid w:val="005109B5"/>
    <w:rsid w:val="00571528"/>
    <w:rsid w:val="005C6ABC"/>
    <w:rsid w:val="005E4FB5"/>
    <w:rsid w:val="0067021F"/>
    <w:rsid w:val="00677AD3"/>
    <w:rsid w:val="008267DF"/>
    <w:rsid w:val="009A7DB1"/>
    <w:rsid w:val="009C70A4"/>
    <w:rsid w:val="00B94E86"/>
    <w:rsid w:val="00C90151"/>
    <w:rsid w:val="00D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AEE6AE-1E0A-489F-83E4-36D9EC4B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109B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09B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09B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109B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09B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09B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09B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09B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09B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109B5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5109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5109B5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109B5"/>
  </w:style>
  <w:style w:type="table" w:styleId="-1">
    <w:name w:val="Table Web 1"/>
    <w:basedOn w:val="a4"/>
    <w:uiPriority w:val="99"/>
    <w:rsid w:val="005109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5109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109B5"/>
    <w:rPr>
      <w:vertAlign w:val="superscript"/>
    </w:rPr>
  </w:style>
  <w:style w:type="paragraph" w:styleId="ac">
    <w:name w:val="Body Text"/>
    <w:basedOn w:val="a2"/>
    <w:link w:val="ae"/>
    <w:uiPriority w:val="99"/>
    <w:rsid w:val="005109B5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109B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109B5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5109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109B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109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109B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109B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109B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09B5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109B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109B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109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09B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09B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09B5"/>
    <w:pPr>
      <w:ind w:left="958"/>
    </w:pPr>
  </w:style>
  <w:style w:type="paragraph" w:styleId="23">
    <w:name w:val="Body Text Indent 2"/>
    <w:basedOn w:val="a2"/>
    <w:link w:val="24"/>
    <w:uiPriority w:val="99"/>
    <w:rsid w:val="005109B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109B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109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109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09B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09B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109B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109B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09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09B5"/>
    <w:rPr>
      <w:i/>
      <w:iCs/>
    </w:rPr>
  </w:style>
  <w:style w:type="paragraph" w:customStyle="1" w:styleId="af9">
    <w:name w:val="ТАБЛИЦА"/>
    <w:next w:val="a2"/>
    <w:autoRedefine/>
    <w:uiPriority w:val="99"/>
    <w:rsid w:val="005109B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109B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109B5"/>
  </w:style>
  <w:style w:type="table" w:customStyle="1" w:styleId="14">
    <w:name w:val="Стиль таблицы1"/>
    <w:uiPriority w:val="99"/>
    <w:rsid w:val="005109B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109B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109B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109B5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109B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109B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Оборудование и безопасность</vt:lpstr>
    </vt:vector>
  </TitlesOfParts>
  <Company>Дом</Company>
  <LinksUpToDate>false</LinksUpToDate>
  <CharactersWithSpaces>24155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Оборудование и безопасность</dc:title>
  <dc:subject/>
  <dc:creator>Юля</dc:creator>
  <cp:keywords/>
  <dc:description/>
  <cp:lastModifiedBy>admin</cp:lastModifiedBy>
  <cp:revision>2</cp:revision>
  <dcterms:created xsi:type="dcterms:W3CDTF">2014-02-25T04:26:00Z</dcterms:created>
  <dcterms:modified xsi:type="dcterms:W3CDTF">2014-02-25T04:26:00Z</dcterms:modified>
</cp:coreProperties>
</file>