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586" w:rsidRDefault="00464586" w:rsidP="004645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64586" w:rsidRDefault="00464586" w:rsidP="004645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64586" w:rsidRDefault="00464586" w:rsidP="004645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64586" w:rsidRDefault="00464586" w:rsidP="004645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64586" w:rsidRDefault="00464586" w:rsidP="004645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64586" w:rsidRDefault="00464586" w:rsidP="004645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64586" w:rsidRDefault="00464586" w:rsidP="004645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64586" w:rsidRDefault="00464586" w:rsidP="004645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64586" w:rsidRDefault="00464586" w:rsidP="004645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64586" w:rsidRDefault="00464586" w:rsidP="004645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64586" w:rsidRDefault="00464586" w:rsidP="004645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64586" w:rsidRDefault="00464586" w:rsidP="004645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64586" w:rsidRDefault="00464586" w:rsidP="004645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64586" w:rsidRPr="00464586" w:rsidRDefault="003B472E" w:rsidP="0046458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45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Реферат на тему</w:t>
      </w:r>
      <w:r w:rsidR="00464586" w:rsidRPr="004645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B472E" w:rsidRPr="00464586" w:rsidRDefault="003B472E" w:rsidP="0046458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4586">
        <w:rPr>
          <w:rFonts w:ascii="Times New Roman" w:eastAsia="MyriadPro-Bold" w:hAnsi="Times New Roman" w:cs="Times New Roman"/>
          <w:b/>
          <w:bCs/>
          <w:color w:val="000000"/>
          <w:sz w:val="28"/>
          <w:szCs w:val="28"/>
          <w:lang w:eastAsia="en-US"/>
        </w:rPr>
        <w:t>Образовательный аспект массового мар</w:t>
      </w:r>
      <w:r w:rsidR="00464586" w:rsidRPr="00464586">
        <w:rPr>
          <w:rFonts w:ascii="Times New Roman" w:eastAsia="MyriadPro-Bold" w:hAnsi="Times New Roman" w:cs="Times New Roman"/>
          <w:b/>
          <w:bCs/>
          <w:color w:val="000000"/>
          <w:sz w:val="28"/>
          <w:szCs w:val="28"/>
          <w:lang w:eastAsia="en-US"/>
        </w:rPr>
        <w:t>кетинга и обучение потребителей</w:t>
      </w:r>
    </w:p>
    <w:p w:rsidR="00E55B10" w:rsidRPr="00464586" w:rsidRDefault="00464586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MyriadPro-Regular" w:hAnsi="Times New Roman"/>
          <w:color w:val="000000"/>
          <w:sz w:val="28"/>
          <w:szCs w:val="28"/>
          <w:lang w:eastAsia="en-US"/>
        </w:rPr>
        <w:br w:type="page"/>
      </w:r>
      <w:r w:rsidR="003B472E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В конце прошлого века в Россию хлынул поток</w:t>
      </w:r>
      <w:r w:rsidR="00E55B10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B472E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импортных товаров. Часть из них была понятна</w:t>
      </w:r>
      <w:r w:rsidR="00E55B10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B472E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потребителю, другие расширяли привычные границы и вызывали необходимость дополнительной обучающей работы со стороны производителей</w:t>
      </w:r>
      <w:r w:rsidR="00E55B10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.</w:t>
      </w:r>
    </w:p>
    <w:p w:rsidR="003B472E" w:rsidRPr="00464586" w:rsidRDefault="003B472E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Это обычная картина для любой страны и любой эпохи, когда темпы развития промышленности опережают массовое сознание. Потребителям</w:t>
      </w:r>
      <w:r w:rsidR="00E55B10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приходится многому учиться. Важность обучения</w:t>
      </w:r>
      <w:r w:rsidR="00E55B10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целевой аудитории признают многие производители, хотя они и с опаской относятся к данному виду общения с потребителем. На фоне общего согласия с актуальностью обучающих программ ответы на вопросы: </w:t>
      </w:r>
      <w:r w:rsid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«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Как правильно сделать?</w:t>
      </w:r>
      <w:r w:rsid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»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и </w:t>
      </w:r>
      <w:r w:rsid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«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Как</w:t>
      </w:r>
      <w:r w:rsidR="00E55B10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измерить эффективность?</w:t>
      </w:r>
      <w:r w:rsid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»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— туманны. В результате отношение к обучающим программам варьируется от негативного до по-детски наивного. Попытаемся найти золотую середину.</w:t>
      </w:r>
    </w:p>
    <w:p w:rsidR="003B472E" w:rsidRPr="00464586" w:rsidRDefault="003B472E" w:rsidP="00464586">
      <w:pPr>
        <w:spacing w:after="0" w:line="360" w:lineRule="auto"/>
        <w:ind w:firstLine="709"/>
        <w:jc w:val="both"/>
        <w:rPr>
          <w:rFonts w:ascii="Times New Roman" w:eastAsia="MyriadPro-Regular" w:hAnsi="Times New Roman"/>
          <w:color w:val="000000"/>
          <w:sz w:val="28"/>
          <w:szCs w:val="28"/>
          <w:lang w:eastAsia="en-US"/>
        </w:rPr>
      </w:pPr>
    </w:p>
    <w:p w:rsidR="003B472E" w:rsidRPr="00464586" w:rsidRDefault="00E55B10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Bold" w:hAnsi="Times New Roman"/>
          <w:b/>
          <w:bCs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Bold" w:hAnsi="Times New Roman" w:cs="Times New Roman"/>
          <w:b/>
          <w:bCs/>
          <w:color w:val="000000"/>
          <w:sz w:val="28"/>
          <w:szCs w:val="28"/>
          <w:lang w:eastAsia="en-US"/>
        </w:rPr>
        <w:t>ИСТОРИЯ ПРОБЛЕМЫ</w:t>
      </w:r>
    </w:p>
    <w:p w:rsidR="00464586" w:rsidRDefault="00464586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Regular" w:hAnsi="Times New Roman"/>
          <w:color w:val="000000"/>
          <w:sz w:val="28"/>
          <w:szCs w:val="28"/>
          <w:lang w:val="en-US" w:eastAsia="en-US"/>
        </w:rPr>
      </w:pPr>
    </w:p>
    <w:p w:rsidR="003B472E" w:rsidRPr="00464586" w:rsidRDefault="003B472E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Regular" w:hAnsi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На Западе обучение потребителя имеет значительно более долгую историю и берет начало от</w:t>
      </w:r>
      <w:r w:rsidR="00BE69F2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коммивояжеров, которые, стуча в каждую дверь,</w:t>
      </w:r>
      <w:r w:rsidR="00E55B10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E69F2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были готовы и показать, и научить, как обращаться с</w:t>
      </w:r>
      <w:r w:rsidR="00E55B10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E69F2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чудо-пылесосом или с уникальной теркой для ов</w:t>
      </w:r>
      <w:r w:rsidR="00E55B10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о</w:t>
      </w:r>
      <w:r w:rsidR="00BE69F2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щей. Обучение целевой аудитории изначально имело чисто утилитарное значение: не зная особенностей использования товара, его можно было сломать, испортить, сделать что-то неправильно и в</w:t>
      </w:r>
      <w:r w:rsidR="00E55B10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E69F2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конце концов испытать чувство глубокого неудовлетворения сделанной покупкой. Таким образом,</w:t>
      </w:r>
      <w:r w:rsidR="00E55B10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E69F2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производители были вынуждены заниматься обучением своих потребителей. Со временем с усилением конкуренции простое обучение типа </w:t>
      </w:r>
      <w:r w:rsid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«</w:t>
      </w:r>
      <w:r w:rsidR="00BE69F2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делай так</w:t>
      </w:r>
      <w:r w:rsid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»</w:t>
      </w:r>
      <w:r w:rsidR="00E55B10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E69F2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превратилось в долгосрочные образовательные</w:t>
      </w:r>
      <w:r w:rsidR="00E55B10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E69F2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программы стоимостью в миллионы долларов.</w:t>
      </w:r>
    </w:p>
    <w:p w:rsidR="00BE69F2" w:rsidRPr="00464586" w:rsidRDefault="00BE69F2" w:rsidP="00464586">
      <w:pPr>
        <w:spacing w:after="0" w:line="360" w:lineRule="auto"/>
        <w:ind w:firstLine="709"/>
        <w:jc w:val="both"/>
        <w:rPr>
          <w:rFonts w:ascii="Times New Roman" w:eastAsia="MyriadPro-Regular" w:hAnsi="Times New Roman"/>
          <w:color w:val="000000"/>
          <w:sz w:val="28"/>
          <w:szCs w:val="28"/>
          <w:lang w:eastAsia="en-US"/>
        </w:rPr>
      </w:pPr>
    </w:p>
    <w:p w:rsidR="00BE69F2" w:rsidRPr="00464586" w:rsidRDefault="00464586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MyriadPro-Bold" w:hAnsi="Times New Roman"/>
          <w:color w:val="000000"/>
          <w:sz w:val="28"/>
          <w:szCs w:val="28"/>
          <w:lang w:eastAsia="en-US"/>
        </w:rPr>
        <w:br w:type="page"/>
      </w:r>
      <w:r w:rsidR="00BE69F2" w:rsidRPr="00464586">
        <w:rPr>
          <w:rFonts w:ascii="Times New Roman" w:eastAsia="MyriadPro-Bold" w:hAnsi="Times New Roman" w:cs="Times New Roman"/>
          <w:b/>
          <w:bCs/>
          <w:color w:val="000000"/>
          <w:sz w:val="28"/>
          <w:szCs w:val="28"/>
          <w:lang w:eastAsia="en-US"/>
        </w:rPr>
        <w:t>ТЕРМИНОЛОГИЯ</w:t>
      </w:r>
    </w:p>
    <w:p w:rsidR="00464586" w:rsidRDefault="00464586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Regular" w:hAnsi="Times New Roman"/>
          <w:color w:val="000000"/>
          <w:sz w:val="28"/>
          <w:szCs w:val="28"/>
          <w:lang w:eastAsia="en-US"/>
        </w:rPr>
      </w:pPr>
    </w:p>
    <w:p w:rsidR="00BE69F2" w:rsidRPr="00464586" w:rsidRDefault="00BE69F2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Слова </w:t>
      </w:r>
      <w:r w:rsid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«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обучение</w:t>
      </w:r>
      <w:r w:rsid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»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и </w:t>
      </w:r>
      <w:r w:rsid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«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образование</w:t>
      </w:r>
      <w:r w:rsid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»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часто употребляют как синонимы. Между тем </w:t>
      </w:r>
      <w:r w:rsid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«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образование</w:t>
      </w:r>
      <w:r w:rsid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»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—</w:t>
      </w:r>
      <w:r w:rsid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более широкое понятие. Это процесс развития и саморазвития личности, связанный с овладением социально значимым опытом человечества[2]. Обучение — один из основных путей получения образования наряду с самообразованием,</w:t>
      </w:r>
      <w:r w:rsidR="00E55B10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поэтому термин </w:t>
      </w:r>
      <w:r w:rsid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«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образовательные программы</w:t>
      </w:r>
      <w:r w:rsid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»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,</w:t>
      </w:r>
      <w:r w:rsid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который используют коммерческие компании в</w:t>
      </w:r>
      <w:r w:rsidR="00E55B10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коммуникации с внешним миром, не совсем корректен. Образование не только не является целью</w:t>
      </w:r>
      <w:r w:rsidR="00E55B10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фирмы, т.к. требует существенных затрат и неэффективно с точки зрения решения стратегических задач, но и зачастую не нужно массовым потребителям. Те, кто склонен к получению серьезных знаний, учатся в разнообразных учебных заведениях не один год. Потребителю нужны простые</w:t>
      </w:r>
      <w:r w:rsidR="00E55B10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практические знания, при этом 80% информации</w:t>
      </w:r>
      <w:r w:rsid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забывается им сразу. Что остается в памяти? Бренд.</w:t>
      </w:r>
    </w:p>
    <w:p w:rsidR="00BE69F2" w:rsidRPr="00464586" w:rsidRDefault="00BE69F2" w:rsidP="00464586">
      <w:pPr>
        <w:spacing w:after="0" w:line="360" w:lineRule="auto"/>
        <w:ind w:firstLine="709"/>
        <w:jc w:val="both"/>
        <w:rPr>
          <w:rFonts w:ascii="Times New Roman" w:eastAsia="MyriadPro-Regular" w:hAnsi="Times New Roman"/>
          <w:color w:val="000000"/>
          <w:sz w:val="28"/>
          <w:szCs w:val="28"/>
          <w:lang w:eastAsia="en-US"/>
        </w:rPr>
      </w:pPr>
    </w:p>
    <w:p w:rsidR="00464586" w:rsidRDefault="00BE69F2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Bold" w:hAnsi="Times New Roman"/>
          <w:b/>
          <w:bCs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Bold" w:hAnsi="Times New Roman" w:cs="Times New Roman"/>
          <w:b/>
          <w:bCs/>
          <w:color w:val="000000"/>
          <w:sz w:val="28"/>
          <w:szCs w:val="28"/>
          <w:lang w:eastAsia="en-US"/>
        </w:rPr>
        <w:t>РОЛЬ ОБУЧЕНИЯ В ЦЕЛОСТНОМ</w:t>
      </w:r>
      <w:r w:rsidR="00E55B10" w:rsidRPr="00464586">
        <w:rPr>
          <w:rFonts w:ascii="Times New Roman" w:eastAsia="MyriadPro-Bold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Bold" w:hAnsi="Times New Roman" w:cs="Times New Roman"/>
          <w:b/>
          <w:bCs/>
          <w:color w:val="000000"/>
          <w:sz w:val="28"/>
          <w:szCs w:val="28"/>
          <w:lang w:eastAsia="en-US"/>
        </w:rPr>
        <w:t>ВОСПРИЯТИИ БРЕНДА</w:t>
      </w:r>
      <w:r w:rsidR="00E55B10" w:rsidRPr="00464586">
        <w:rPr>
          <w:rFonts w:ascii="Times New Roman" w:eastAsia="MyriadPro-Bold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</w:p>
    <w:p w:rsidR="00BE69F2" w:rsidRPr="00464586" w:rsidRDefault="00BE69F2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Bold" w:hAnsi="Times New Roman" w:cs="Times New Roman"/>
          <w:b/>
          <w:bCs/>
          <w:color w:val="000000"/>
          <w:sz w:val="28"/>
          <w:szCs w:val="28"/>
          <w:lang w:eastAsia="en-US"/>
        </w:rPr>
        <w:t>ПОТРЕБИТЕЛЕМ</w:t>
      </w:r>
    </w:p>
    <w:p w:rsidR="00464586" w:rsidRDefault="00464586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Regular" w:hAnsi="Times New Roman"/>
          <w:color w:val="000000"/>
          <w:sz w:val="28"/>
          <w:szCs w:val="28"/>
          <w:lang w:eastAsia="en-US"/>
        </w:rPr>
      </w:pPr>
    </w:p>
    <w:p w:rsidR="00BE69F2" w:rsidRPr="00464586" w:rsidRDefault="00BE69F2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Бренд особенно важен для потребителей в таких категориях, как продукты питания, товарыдля здоровья и косметика, т.е. всех тех, в которых</w:t>
      </w:r>
      <w:r w:rsidR="00E55B10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имеет место наиболее тесный контакт продукции</w:t>
      </w:r>
      <w:r w:rsidR="00E55B10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с организмом человека. Можно съесть некачественный продукт и получить серьезные осложнения. Можно рискнуть и нанести на лицо </w:t>
      </w:r>
      <w:r w:rsid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«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чудо</w:t>
      </w:r>
      <w:r w:rsidR="00E55B10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-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крем</w:t>
      </w:r>
      <w:r w:rsid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»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неизвестного происхождения и наутро не</w:t>
      </w:r>
      <w:r w:rsidR="00E55B10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узнать себя в зеркале. В связи с этим покупатель</w:t>
      </w:r>
      <w:r w:rsidR="00E55B10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не хочет рисковать, и известный бренд в данном</w:t>
      </w:r>
      <w:r w:rsidR="00E55B10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случае является гарантией качества. Более того,</w:t>
      </w:r>
      <w:r w:rsidR="00E55B10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«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бренды…существуют, пока этот риск воспринимается. Когда риск, ощущаемый покупателем,</w:t>
      </w:r>
      <w:r w:rsid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исчезает, от бренда больше нет выгоды</w:t>
      </w:r>
      <w:r w:rsid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»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[3].</w:t>
      </w:r>
      <w:r w:rsidR="00E55B10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Бренд с хорошей репутацией имеет определенные внешние признаки, которые позволяют покупателям снизить воспринимаемый риск до минимума. Несомненно, программы по обучению</w:t>
      </w:r>
      <w:r w:rsid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имеют в той или иной мере социальную направленность, добавленную ценность для социума и</w:t>
      </w:r>
      <w:r w:rsidR="00E55B10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являются одним из внешних признаков—гарантов безопасности. Именно поэтому все известные крупные производители пищевых продуктов (особенно для малышей), косметики, лекарств, средств по уходу за полостью рта и т.д.</w:t>
      </w:r>
      <w:r w:rsidR="00E55B10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проводят обучающие программы для своих потребителей и посредников в общении с целевой</w:t>
      </w:r>
      <w:r w:rsidR="00E55B10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аудиторией (например, для парикмахеров, врачей, косметологов).</w:t>
      </w:r>
    </w:p>
    <w:p w:rsidR="00BE69F2" w:rsidRPr="00464586" w:rsidRDefault="00BE69F2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Bold" w:hAnsi="Times New Roman"/>
          <w:color w:val="000000"/>
          <w:sz w:val="28"/>
          <w:szCs w:val="28"/>
          <w:lang w:eastAsia="en-US"/>
        </w:rPr>
      </w:pPr>
    </w:p>
    <w:p w:rsidR="00BE69F2" w:rsidRPr="00464586" w:rsidRDefault="00BE69F2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Bold" w:hAnsi="Times New Roman" w:cs="Times New Roman"/>
          <w:b/>
          <w:bCs/>
          <w:color w:val="000000"/>
          <w:sz w:val="28"/>
          <w:szCs w:val="28"/>
          <w:lang w:eastAsia="en-US"/>
        </w:rPr>
        <w:t>ТИПОЛОГИЯ ОБУЧЕНИЯ</w:t>
      </w:r>
    </w:p>
    <w:p w:rsidR="00464586" w:rsidRDefault="00464586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Regular" w:hAnsi="Times New Roman"/>
          <w:color w:val="000000"/>
          <w:sz w:val="28"/>
          <w:szCs w:val="28"/>
          <w:lang w:eastAsia="en-US"/>
        </w:rPr>
      </w:pPr>
    </w:p>
    <w:p w:rsidR="00BE69F2" w:rsidRPr="00464586" w:rsidRDefault="00BE69F2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Теоретически обучение потребителей можно</w:t>
      </w:r>
      <w:r w:rsidR="00E55B10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классифицировать следующим образом:</w:t>
      </w:r>
    </w:p>
    <w:p w:rsidR="00E55B10" w:rsidRPr="00464586" w:rsidRDefault="00BE69F2" w:rsidP="0046458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yriadPro-Regular" w:hAnsi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по продолжительности: краткосрочное или</w:t>
      </w:r>
      <w:r w:rsidR="00E55B10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долгосрочное;</w:t>
      </w:r>
    </w:p>
    <w:p w:rsidR="00E55B10" w:rsidRPr="00464586" w:rsidRDefault="00BE69F2" w:rsidP="0046458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yriadPro-Regular" w:hAnsi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по типу аудитории непосредственного воздействия: работа с детьми или со взрослыми;</w:t>
      </w:r>
    </w:p>
    <w:p w:rsidR="00BE69F2" w:rsidRPr="00464586" w:rsidRDefault="00BE69F2" w:rsidP="0046458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по характеру контактов: прямое или опосредованное;</w:t>
      </w:r>
    </w:p>
    <w:p w:rsidR="00BE69F2" w:rsidRPr="00464586" w:rsidRDefault="00BE69F2" w:rsidP="0046458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по вовлечению лидеров мнений, авторитетных лиц или организаций.</w:t>
      </w:r>
    </w:p>
    <w:p w:rsidR="00BE69F2" w:rsidRPr="00464586" w:rsidRDefault="00BE69F2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Рассмотрим особенности каждого из пунктов</w:t>
      </w:r>
      <w:r w:rsidR="00E55B10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данной классификации с точки зрения применения на практике.</w:t>
      </w:r>
    </w:p>
    <w:p w:rsidR="00BE69F2" w:rsidRPr="00414806" w:rsidRDefault="00BE69F2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414806">
        <w:rPr>
          <w:rFonts w:ascii="Times New Roman" w:eastAsia="MyriadPro-Bold" w:hAnsi="Times New Roman" w:cs="Times New Roman"/>
          <w:b/>
          <w:bCs/>
          <w:color w:val="000000"/>
          <w:sz w:val="28"/>
          <w:szCs w:val="28"/>
          <w:lang w:eastAsia="en-US"/>
        </w:rPr>
        <w:t>Краткосрочные акции</w:t>
      </w:r>
    </w:p>
    <w:p w:rsidR="00BE69F2" w:rsidRPr="00464586" w:rsidRDefault="00BE69F2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Краткосрочные акции — это наиболее распространенный вид контекстного обучения с маркетинговой целью при запуске нового товара, которое подчеркивает его инновационный характер. При умелом построении концепции и исполнительском мастерстве такие кампании достаточно быстро доказывают свою эффективность и помогают торговой марке на определенный срок завоевать лавры первопроходца. Программы на</w:t>
      </w:r>
      <w:r w:rsidR="00E55B10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первый взгляд предельно просты и прозрачны.</w:t>
      </w:r>
    </w:p>
    <w:p w:rsidR="00BE69F2" w:rsidRPr="00464586" w:rsidRDefault="00BE69F2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Обучение — это способ, привлекающий внимание целевой аудитории и прикрывающий главную цель — рост потребления конкретного товара. Например, </w:t>
      </w:r>
      <w:r w:rsidR="00481B82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«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N признаков здоровых зубов</w:t>
      </w:r>
      <w:r w:rsidR="00481B82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»</w:t>
      </w:r>
      <w:r w:rsidR="00E55B10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(причем у каждого производителя количество</w:t>
      </w:r>
      <w:r w:rsidR="00481B82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признаков разное), </w:t>
      </w:r>
      <w:r w:rsidR="00481B82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«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X признаков здоровых волос</w:t>
      </w:r>
      <w:r w:rsidR="00481B82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»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481B82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«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Z признаков здоровой кожи</w:t>
      </w:r>
      <w:r w:rsidR="00481B82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»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— фантазия</w:t>
      </w:r>
      <w:r w:rsidR="00E55B10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безгранична. В конце концов</w:t>
      </w:r>
      <w:r w:rsidR="00481B82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,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содержание забывается, но коммуникация достигает своей цели: информация о торговой марке оседает в сознании</w:t>
      </w:r>
      <w:r w:rsidR="00E55B10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потребителя, формируя имидж товара как панацеи. При умелом построении коммуникации в результате обучения происходит рост продаж.</w:t>
      </w:r>
    </w:p>
    <w:p w:rsidR="00BE69F2" w:rsidRPr="00464586" w:rsidRDefault="00BE69F2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Ниже приведен пример коммуникации обучающего характера от Danone.</w:t>
      </w:r>
    </w:p>
    <w:p w:rsidR="00BE69F2" w:rsidRPr="00464586" w:rsidRDefault="00BE69F2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Bold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Bold" w:hAnsi="Times New Roman" w:cs="Times New Roman"/>
          <w:color w:val="000000"/>
          <w:sz w:val="28"/>
          <w:szCs w:val="28"/>
          <w:lang w:eastAsia="en-US"/>
        </w:rPr>
        <w:t>Проблема холестерина может коснуться</w:t>
      </w:r>
      <w:r w:rsidR="00481B82">
        <w:rPr>
          <w:rFonts w:ascii="Times New Roman" w:eastAsia="MyriadPro-Bold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Bold" w:hAnsi="Times New Roman" w:cs="Times New Roman"/>
          <w:color w:val="000000"/>
          <w:sz w:val="28"/>
          <w:szCs w:val="28"/>
          <w:lang w:eastAsia="en-US"/>
        </w:rPr>
        <w:t>каждого!</w:t>
      </w:r>
    </w:p>
    <w:p w:rsidR="00BE69F2" w:rsidRPr="00464586" w:rsidRDefault="00BE69F2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Bold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Bold" w:hAnsi="Times New Roman" w:cs="Times New Roman"/>
          <w:color w:val="000000"/>
          <w:sz w:val="28"/>
          <w:szCs w:val="28"/>
          <w:lang w:eastAsia="en-US"/>
        </w:rPr>
        <w:t>А Вы попадаете в группу риска?</w:t>
      </w:r>
    </w:p>
    <w:p w:rsidR="00BE69F2" w:rsidRPr="00464586" w:rsidRDefault="00BE69F2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Bold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Bold" w:hAnsi="Times New Roman" w:cs="Times New Roman"/>
          <w:color w:val="000000"/>
          <w:sz w:val="28"/>
          <w:szCs w:val="28"/>
          <w:lang w:eastAsia="en-US"/>
        </w:rPr>
        <w:t>Проверьте.</w:t>
      </w:r>
    </w:p>
    <w:p w:rsidR="00BE69F2" w:rsidRPr="00464586" w:rsidRDefault="00BE69F2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Bold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Bold" w:hAnsi="Times New Roman" w:cs="Times New Roman"/>
          <w:color w:val="000000"/>
          <w:sz w:val="28"/>
          <w:szCs w:val="28"/>
          <w:lang w:eastAsia="en-US"/>
        </w:rPr>
        <w:t>1. Мне более 35 лет.</w:t>
      </w:r>
    </w:p>
    <w:p w:rsidR="00BE69F2" w:rsidRPr="00464586" w:rsidRDefault="00BE69F2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Bold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Bold" w:hAnsi="Times New Roman" w:cs="Times New Roman"/>
          <w:color w:val="000000"/>
          <w:sz w:val="28"/>
          <w:szCs w:val="28"/>
          <w:lang w:eastAsia="en-US"/>
        </w:rPr>
        <w:t>2. Я не каждый день ем 400 граммов овощей и</w:t>
      </w:r>
      <w:r w:rsidR="00E55B10" w:rsidRPr="00464586">
        <w:rPr>
          <w:rFonts w:ascii="Times New Roman" w:eastAsia="MyriadPro-Bold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Bold" w:hAnsi="Times New Roman" w:cs="Times New Roman"/>
          <w:color w:val="000000"/>
          <w:sz w:val="28"/>
          <w:szCs w:val="28"/>
          <w:lang w:eastAsia="en-US"/>
        </w:rPr>
        <w:t>фруктов.</w:t>
      </w:r>
    </w:p>
    <w:p w:rsidR="00BE69F2" w:rsidRPr="00464586" w:rsidRDefault="00BE69F2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Bold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Bold" w:hAnsi="Times New Roman" w:cs="Times New Roman"/>
          <w:color w:val="000000"/>
          <w:sz w:val="28"/>
          <w:szCs w:val="28"/>
          <w:lang w:eastAsia="en-US"/>
        </w:rPr>
        <w:t>3. Я ем жирную морскую рыбу реже двух раз в</w:t>
      </w:r>
      <w:r w:rsidR="00E55B10" w:rsidRPr="00464586">
        <w:rPr>
          <w:rFonts w:ascii="Times New Roman" w:eastAsia="MyriadPro-Bold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Bold" w:hAnsi="Times New Roman" w:cs="Times New Roman"/>
          <w:color w:val="000000"/>
          <w:sz w:val="28"/>
          <w:szCs w:val="28"/>
          <w:lang w:eastAsia="en-US"/>
        </w:rPr>
        <w:t>неделю.</w:t>
      </w:r>
    </w:p>
    <w:p w:rsidR="00BE69F2" w:rsidRPr="00464586" w:rsidRDefault="00BE69F2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Bold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Bold" w:hAnsi="Times New Roman" w:cs="Times New Roman"/>
          <w:color w:val="000000"/>
          <w:sz w:val="28"/>
          <w:szCs w:val="28"/>
          <w:lang w:eastAsia="en-US"/>
        </w:rPr>
        <w:t>4. Я ем продукты, богатые животными жирами, чаще двух раз в неделю.</w:t>
      </w:r>
    </w:p>
    <w:p w:rsidR="00BE69F2" w:rsidRPr="00464586" w:rsidRDefault="00BE69F2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Bold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Bold" w:hAnsi="Times New Roman" w:cs="Times New Roman"/>
          <w:color w:val="000000"/>
          <w:sz w:val="28"/>
          <w:szCs w:val="28"/>
          <w:lang w:eastAsia="en-US"/>
        </w:rPr>
        <w:t>5. Я не занимаюсь спортом регулярно.</w:t>
      </w:r>
    </w:p>
    <w:p w:rsidR="00BE69F2" w:rsidRPr="00464586" w:rsidRDefault="00BE69F2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Bold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Bold" w:hAnsi="Times New Roman" w:cs="Times New Roman"/>
          <w:color w:val="000000"/>
          <w:sz w:val="28"/>
          <w:szCs w:val="28"/>
          <w:lang w:eastAsia="en-US"/>
        </w:rPr>
        <w:t>Если Вы согласны хотя бы с частью утверждений, есть риск, что у Вас повышен уровень холестерина в крови.</w:t>
      </w:r>
    </w:p>
    <w:p w:rsidR="003A6E74" w:rsidRPr="00464586" w:rsidRDefault="00BE69F2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Это содержание рекламного плаката известного кисломолочного напитка. Нет ни одногоженского журнала, не осветившего тему здорового питания. Периодически различные торговые марки подписываются под подобными</w:t>
      </w:r>
      <w:r w:rsidR="00E55B10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статьями, но Danacor от Danone по максимуму</w:t>
      </w:r>
      <w:r w:rsidR="00E55B10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использовал идею обучения потребителей основам</w:t>
      </w:r>
      <w:r w:rsidR="00E55B10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правильного питания в маркетинговых целях с помощью грамотно по</w:t>
      </w:r>
      <w:r w:rsidR="003A6E7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строенных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интегрированных коммуникаций. ATL и BTL в данном</w:t>
      </w:r>
      <w:r w:rsidR="003A6E7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случае очень четко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работают в одном направлении: создают обеспокоенность проблемой повы</w:t>
      </w:r>
      <w:r w:rsidR="003A6E7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шенного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холестерина среди представителей целевой аудитории и предлагают решение. Элемент обучения придает социальный характер</w:t>
      </w:r>
      <w:r w:rsidR="003A6E7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кампании. Обычно добрые советы хорошо воспринимаются потребителями и быстро забываются, что не снижает эффективности программы: в конце концов, в сознании покупателя этот</w:t>
      </w:r>
      <w:r w:rsidR="00481B82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кисломолочный напиток станет обязательным</w:t>
      </w:r>
      <w:r w:rsidR="003A6E7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средством от повышения холестерина без кардинальных изменений в питании</w:t>
      </w:r>
      <w:r w:rsidR="003A6E7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.</w:t>
      </w:r>
    </w:p>
    <w:p w:rsidR="00BE69F2" w:rsidRPr="00464586" w:rsidRDefault="00BE69F2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Таким образом, краткосрочные обучающие</w:t>
      </w:r>
      <w:r w:rsidR="003A6E7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программы — весьма эффективное средство создания и поддержания необходимого целостного</w:t>
      </w:r>
      <w:r w:rsidR="003A6E7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восприятия бренда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при условии массированной</w:t>
      </w:r>
      <w:r w:rsidR="003A6E7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атаки на умы потребителей.</w:t>
      </w:r>
    </w:p>
    <w:p w:rsidR="00BE69F2" w:rsidRPr="00481B82" w:rsidRDefault="00BE69F2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481B82">
        <w:rPr>
          <w:rFonts w:ascii="Times New Roman" w:eastAsia="MyriadPro-Bold" w:hAnsi="Times New Roman" w:cs="Times New Roman"/>
          <w:b/>
          <w:bCs/>
          <w:color w:val="000000"/>
          <w:sz w:val="28"/>
          <w:szCs w:val="28"/>
          <w:lang w:eastAsia="en-US"/>
        </w:rPr>
        <w:t>Долгосрочные обучающие</w:t>
      </w:r>
      <w:r w:rsidR="003A6E74" w:rsidRPr="00481B82">
        <w:rPr>
          <w:rFonts w:ascii="Times New Roman" w:eastAsia="MyriadPro-Bold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481B82">
        <w:rPr>
          <w:rFonts w:ascii="Times New Roman" w:eastAsia="MyriadPro-Bold" w:hAnsi="Times New Roman" w:cs="Times New Roman"/>
          <w:b/>
          <w:bCs/>
          <w:color w:val="000000"/>
          <w:sz w:val="28"/>
          <w:szCs w:val="28"/>
          <w:lang w:eastAsia="en-US"/>
        </w:rPr>
        <w:t>программы</w:t>
      </w:r>
    </w:p>
    <w:p w:rsidR="00BE69F2" w:rsidRPr="00464586" w:rsidRDefault="00BE69F2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Долгосрочные обучающие программы более</w:t>
      </w:r>
      <w:r w:rsidR="003A6E7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затратные и сложные, поэтому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решаются на них в</w:t>
      </w:r>
      <w:r w:rsidR="003A6E7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основном крупные компании типа Procter &amp;</w:t>
      </w:r>
      <w:r w:rsidR="003A6E7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Gamble, Nestle, Colgate. Долгосрочность таких</w:t>
      </w:r>
      <w:r w:rsidR="003A6E7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программ обусловлена двумя факторами:</w:t>
      </w:r>
    </w:p>
    <w:p w:rsidR="003A6E74" w:rsidRPr="00464586" w:rsidRDefault="00BE69F2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Regular" w:hAnsi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1) постоянным притоком новых потребителей</w:t>
      </w:r>
      <w:r w:rsidR="003A6E7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в категорию (например, новорожденных);</w:t>
      </w:r>
    </w:p>
    <w:p w:rsidR="00BE69F2" w:rsidRPr="00464586" w:rsidRDefault="00BE69F2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2) необходимостью выработки определенных</w:t>
      </w:r>
      <w:r w:rsidR="003A6E7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навыков (например, по уходу за полостью рта),</w:t>
      </w:r>
      <w:r w:rsidR="003A6E7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повышающих правильное, а следовательно, более эффективное использование товара.</w:t>
      </w:r>
    </w:p>
    <w:p w:rsidR="00DE3617" w:rsidRPr="00464586" w:rsidRDefault="00BE69F2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С 1999 г. компания Nestle проводит долгосрочную обучающую программу в школах и детских садах. Программа хорошо продумана и прекрасно реализуется: используются качественны</w:t>
      </w:r>
      <w:r w:rsidR="00DE3617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епечатные материалы для детей от 6 до 13 лет,</w:t>
      </w:r>
      <w:r w:rsidR="00481B82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E3617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разнообразные дополнительные методы (лекции, конференции, конкурсы), позволяющие расширить ареал воздействия программы на учите</w:t>
      </w:r>
      <w:r w:rsidR="003A6E7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лей, </w:t>
      </w:r>
      <w:r w:rsidR="00DE3617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администрацию городов, увеличить охват</w:t>
      </w:r>
      <w:r w:rsidR="003A6E7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E3617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аудитории. Усиленно подчеркивается социальный характер программы:</w:t>
      </w:r>
    </w:p>
    <w:p w:rsidR="00464586" w:rsidRDefault="00DE3617" w:rsidP="0046458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yriadPro-Regular" w:hAnsi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более 80% учителей и родителей отметили,</w:t>
      </w:r>
      <w:r w:rsidR="003A6E7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что участие в программе изменило поведение</w:t>
      </w:r>
      <w:r w:rsidR="003A6E7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детей: ребята стали соблюдать режим питания,</w:t>
      </w:r>
      <w:r w:rsidR="003A6E7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правила гигиены, выбирать наиболее полезные</w:t>
      </w:r>
      <w:r w:rsidR="003A6E7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продукты;</w:t>
      </w:r>
    </w:p>
    <w:p w:rsidR="00DE3617" w:rsidRPr="00464586" w:rsidRDefault="00DE3617" w:rsidP="0046458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более 60% родителей утверждают, что программа помогла им правильно организовать питание в семье [1].</w:t>
      </w:r>
    </w:p>
    <w:p w:rsidR="008A7C1B" w:rsidRPr="00464586" w:rsidRDefault="00DE3617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Regular" w:hAnsi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Грамотное позиционирование программы помогает не только </w:t>
      </w:r>
      <w:r w:rsidR="00481B82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«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открывать двери</w:t>
      </w:r>
      <w:r w:rsidR="00481B82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»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различных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инстанций для претворения в жизнь разнообразных идей Nestle, но и способствует созданию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имиджа социально ответственной компании, в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высокое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качество продукции которой верит потребитель. Это красивый фасад программы, то,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что транслируется во внешний мир. Однако выгодна ли эта программа самой корпорации?</w:t>
      </w:r>
    </w:p>
    <w:p w:rsidR="008A7C1B" w:rsidRPr="00464586" w:rsidRDefault="00DE3617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Regular" w:hAnsi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Обычно данные, подтверждающие влияние на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продажи, — слабое место долгосрочных обучающих программ. Можно посчитать средства, затра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ченные на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их выполнение (например, упомянутая программа обошлась Nestle в $4 млн</w:t>
      </w:r>
      <w:r w:rsidR="00481B82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.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с момента запуска), но очень трудно оценить эффективность в силу одновременного влияния других видов маркетинговой активности на целевую ауди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торию. Кроме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того, результативность долгосрочной обучающей программы может быть размыта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из-за общего характера информации, которую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потребитель будет использовать и при покупке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аналогичного товара-конкурента.</w:t>
      </w:r>
    </w:p>
    <w:p w:rsidR="008A7C1B" w:rsidRPr="00464586" w:rsidRDefault="00DE3617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Regular" w:hAnsi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Долгосрочные обучающие программы оправдывают себя только в том случае, если уровень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информированности и заинтересованности це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левой аудитории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действительно поддерживается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в течение длительного времени. Иногда долгосрочная программа является таковой лишь в во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ображении менеджеров, а в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реальности контактс целевой аудиторией происходит один-два раза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за год в виде лекции или урока. В таком случае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можно лишь надеяться на разовое увеличение</w:t>
      </w:r>
      <w:r w:rsidR="00481B82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потребления продукта в ближайшие три месяца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после обучения. Объем продаж вскоре возвращается к исходному уровню. Знакомое всем правило об оптимальном количестве контактов с целевой аудитории </w:t>
      </w:r>
      <w:r w:rsidR="00481B82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«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3+</w:t>
      </w:r>
      <w:r w:rsidR="00481B82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»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в данном случае более чем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актуально. Например, Pampers ведет будущих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мам на протяжении всего периода посещений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женской консультации через курсы для беремен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ных до роддома, далее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используются интернет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рассылки.</w:t>
      </w:r>
    </w:p>
    <w:p w:rsidR="008A7C1B" w:rsidRPr="00464586" w:rsidRDefault="00DE3617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Regular" w:hAnsi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Важной особенностью долгосрочных обучающих программ, кроме выполнения стандартных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условий, обеспечивающих эффективность любо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го проекта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(правильная оценка ситуации и целевой аудитории, четкое понимание цели и т.д.), является продуманный механизм исполнения. Запустив программу с ошибочными исходными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данными, достаточно сложно быстро все исправить, обходится это во много раз дороже, чем в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краткосрочных программах. Например, можно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выбрать в партнеры или исполнители независимую организацию со своей картиной мира и установками, на самом деле противоречащими цели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программы. Вывести такого партнера / исполнителя из работающей программы сложно, так же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как и понять, в чем заключается проблема. В результате программа пробуксовывает в течение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довольно длительного периода.</w:t>
      </w:r>
    </w:p>
    <w:p w:rsidR="00DE3617" w:rsidRPr="00464586" w:rsidRDefault="00DE3617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Итак, разрабатывая долгосрочную обучающую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программу необходимо обратить внимание на:</w:t>
      </w:r>
    </w:p>
    <w:p w:rsidR="00464586" w:rsidRDefault="00DE3617" w:rsidP="0046458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yriadPro-Regular" w:hAnsi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достаточную частоту контактов с целевой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аудиторией в течение года / всей программы;</w:t>
      </w:r>
    </w:p>
    <w:p w:rsidR="00DE3617" w:rsidRPr="00464586" w:rsidRDefault="00DE3617" w:rsidP="0046458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тщательно проработанный механизм осуществления программы и выявление </w:t>
      </w:r>
      <w:r w:rsidR="00481B82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«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слабого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звена</w:t>
      </w:r>
      <w:r w:rsidR="00481B82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»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.</w:t>
      </w:r>
    </w:p>
    <w:p w:rsidR="00DE3617" w:rsidRPr="00481B82" w:rsidRDefault="00DE3617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481B82">
        <w:rPr>
          <w:rFonts w:ascii="Times New Roman" w:eastAsia="MyriadPro-Bold" w:hAnsi="Times New Roman" w:cs="Times New Roman"/>
          <w:b/>
          <w:bCs/>
          <w:color w:val="000000"/>
          <w:sz w:val="28"/>
          <w:szCs w:val="28"/>
          <w:lang w:eastAsia="en-US"/>
        </w:rPr>
        <w:t>Обучающие программы для детей</w:t>
      </w:r>
    </w:p>
    <w:p w:rsidR="008A7C1B" w:rsidRPr="00464586" w:rsidRDefault="00DE3617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Regular" w:hAnsi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Обучающие программы для детей имеют важную особенность, без учета которой деньги, потраченные на их проведение, не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принесут пользыни обществу, ни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компании, разве что поспособствуют обогащению нерадивых исполнителей.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Несмотря на то что в основном контакт происходит с детьми, целевой аудиторией являются мамы и бабушки, т.е. те, кто совершают покупки. По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сравнению, скажем, с США сила просьбы-приказа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81B82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«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Мама, купи это!</w:t>
      </w:r>
      <w:r w:rsidR="00481B82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»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достаточно слаба и неразвита в</w:t>
      </w:r>
      <w:r w:rsidR="00481B82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России. Исключение составляют игры, игрушки и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сладости, которые могут захватить детское сообщество. Для того чтобы мама купила зубную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пасту, хлопьев, молока определенной торговой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марки и делала это постоянно, ей недостаточно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краем уха услышать об обучающей школьной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программе. Ей необходимо стать ее участником.</w:t>
      </w:r>
    </w:p>
    <w:p w:rsidR="00DE3617" w:rsidRPr="00464586" w:rsidRDefault="00DE3617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Именно поэтому рано или поздно, часто потратив огромные средства и не получив результата,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компании приходят к пониманию, что фокусом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школьных обучающих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программ являются не дети, а их родители. Так, в школьной программе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Blend-a-med появился важный элемент — участие стоматолога в родительском собрании со</w:t>
      </w:r>
      <w:r w:rsidR="00481B82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специальной лекцией и возможностью оказать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консультационные услуги родителям под эгидой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торговой марки, в программе о здоровом питании Nestle—беседы с родителями с привлечением педагогов и врачей и конкурсы для всей семьи.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Это дает как минимум троекратное увеличение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использования продукции бренда участниками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программы в течение трех месяцев после ее проведения (в совокупности с обучающим мероприятием для детей). Однако данный эффект не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является продолжительным. Если цель — воспитание поколения пользователей продукта, то обучающая программа для детей должна быть долгосрочной, а контакты с семьями — регулярными. Может потребоваться </w:t>
      </w:r>
      <w:r w:rsidR="00465FA1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не один год, чтобы же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лаемая характеристика, например </w:t>
      </w:r>
      <w:r w:rsidR="00481B82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«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Лучший товар для детей</w:t>
      </w:r>
      <w:r w:rsidR="00481B82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»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или </w:t>
      </w:r>
      <w:r w:rsidR="00481B82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«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Лучший товар для обучения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гигиене в школе</w:t>
      </w:r>
      <w:r w:rsidR="00481B82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»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, закрепилась в сознании потребителей именно за этим брендом.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Итак, прист</w:t>
      </w:r>
      <w:r w:rsidR="00465FA1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упая к разработке обучающей про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граммы для детей, нужно помнить о том, кто на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самом деле принимает решение о покупке и насколько в реальности ребенок желает и можетповлиять на выбор родителей. Исходя из этого</w:t>
      </w:r>
      <w:r w:rsidR="00481B82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,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следует расставлять основные акценты и направлять силы и средства на соответствующую часть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программы.</w:t>
      </w:r>
    </w:p>
    <w:p w:rsidR="00DE3617" w:rsidRPr="00481B82" w:rsidRDefault="00DE3617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481B82">
        <w:rPr>
          <w:rFonts w:ascii="Times New Roman" w:eastAsia="MyriadPro-Bold" w:hAnsi="Times New Roman" w:cs="Times New Roman"/>
          <w:b/>
          <w:bCs/>
          <w:color w:val="000000"/>
          <w:sz w:val="28"/>
          <w:szCs w:val="28"/>
          <w:lang w:eastAsia="en-US"/>
        </w:rPr>
        <w:t>Обучающие программы для взрослых</w:t>
      </w:r>
    </w:p>
    <w:p w:rsidR="00DE3617" w:rsidRPr="00464586" w:rsidRDefault="00DE3617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Если обучающие программы для детей обычно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имеют сложные схемы исполнения в силу опосредованного контакта с покупателем и поэтому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трудно поддаются контролю, то программы для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взрослых более просты, и представители целевой</w:t>
      </w:r>
      <w:r w:rsidR="00481B82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аудитории, принявшие участие в мероприятии,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доступны для исследования эффективности предпринятых шагов по продвижению товара. Это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позволяет быстро выявлять ошибки планирования и реагировать на изменения рынка. Достаточно, например, провести опрос посетительниц</w:t>
      </w:r>
      <w:r w:rsidR="00465FA1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курсов для будущих матерей сразу после лекции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или обзвонить их (с их согласия, конечно) вскоре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после появления ребенка и задать вопрос: </w:t>
      </w:r>
      <w:r w:rsidR="00481B82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«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Какой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подгузник Вы используете для своего ребенка?</w:t>
      </w:r>
      <w:r w:rsidR="00481B82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»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Сравнив группу молодых мам, которые принимали участие в программе, с теми, кто не посещал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лекции Pampers, получим эффективность обучающей программы при прочих равных условиях.</w:t>
      </w:r>
    </w:p>
    <w:p w:rsidR="008A7C1B" w:rsidRPr="00464586" w:rsidRDefault="00DE3617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Regular" w:hAnsi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Особую нишу занимают обучающие программы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для взрослых в узкоспециализированных сферах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деятельности, связанных с хобби или развлечениями. Например, сайт, оказывающий услуги проката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садовой техники, представляет достаточно интересную подборку тем о садоводстве и огородничестве [4]. Как правило, целевая аудитория таких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программ заинтересована в обучении и сама активно ищет любую информацию о предмете своего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увлечения. Можно пойти от обратного: превратить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обучение от имени бренда в развлечение.</w:t>
      </w:r>
    </w:p>
    <w:p w:rsidR="00DE3617" w:rsidRPr="00464586" w:rsidRDefault="00DE3617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Прямое обучение предполагает непосредственный контакт фирмы с целевой аудиторией, например, рекламная кампания Blend-a-med Compete 7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в 2006 г.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началась с рассказа о семи признаках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здоровых зубов (эти признаки и по сей день публикуют на упаковке). Вслед за Blend-a-med Colgate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запустила ролик о 12 признаках здоровых зубов, но обучающий характер кампании наиболее явно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прослеживался у Blend-a-med. Коммуникация данной торговой марки была построена последовательно и плавно трансформировалась в рекламный лозунг: </w:t>
      </w:r>
      <w:r w:rsidR="00481B82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«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А Вы готовы к проверке?</w:t>
      </w:r>
      <w:r w:rsidR="00481B82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»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Удачную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идею раздачи наборов Blend-a-med для самопроверки (стоматологическое зеркало, щетка, зубная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паста и т.д. вместе с руководством, как проверить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состояние своих зубов по семи признакам) Procter &amp;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Gamble периодически использует с 2006 г. Несмотря на явное сокращение количества программ, элемент прямого обучения потребителей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постоянно присутствует в коммуникации бренда.</w:t>
      </w:r>
    </w:p>
    <w:p w:rsidR="00DE3617" w:rsidRPr="00481B82" w:rsidRDefault="00481B82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MyriadPro-Bold" w:hAnsi="Times New Roman"/>
          <w:b/>
          <w:bCs/>
          <w:color w:val="000000"/>
          <w:sz w:val="28"/>
          <w:szCs w:val="28"/>
          <w:lang w:eastAsia="en-US"/>
        </w:rPr>
        <w:br w:type="page"/>
      </w:r>
      <w:r w:rsidR="00DE3617" w:rsidRPr="00481B82">
        <w:rPr>
          <w:rFonts w:ascii="Times New Roman" w:eastAsia="MyriadPro-Bold" w:hAnsi="Times New Roman" w:cs="Times New Roman"/>
          <w:b/>
          <w:bCs/>
          <w:color w:val="000000"/>
          <w:sz w:val="28"/>
          <w:szCs w:val="28"/>
          <w:lang w:eastAsia="en-US"/>
        </w:rPr>
        <w:t>Прямой контакт с потребителями</w:t>
      </w:r>
    </w:p>
    <w:p w:rsidR="00DE3617" w:rsidRPr="00464586" w:rsidRDefault="00DE3617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При прямом контакте важно выбрать правильную тональность общения с потребителем.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Врачу или стилисту он простит некоторое превосходство: большинство потребителей заранее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согласны с тем, что врач знает больше о болезнях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и лечении. Однако менторская тональность в паре </w:t>
      </w:r>
      <w:r w:rsidR="00481B82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«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производитель—покупатель</w:t>
      </w:r>
      <w:r w:rsidR="00481B82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»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отталкивает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последнего и мешает установлению доверия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Кроме того, при калькировании зарубежной обучающей программы необходимо оценить исходный уровень знаний целевой аудитории. Например, российские мамы читают больше зарубежных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и не ограничиваются известной книгой Б. Спока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81B82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«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Ребенок и уход за ним</w:t>
      </w:r>
      <w:r w:rsidR="00481B82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»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, поэтому содержание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текстов должно соответствовать уровню развития потребителей и обладать ценностью благодаря новой полезной информации.</w:t>
      </w:r>
    </w:p>
    <w:p w:rsidR="00DE3617" w:rsidRPr="00481B82" w:rsidRDefault="00DE3617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481B82">
        <w:rPr>
          <w:rFonts w:ascii="Times New Roman" w:eastAsia="MyriadPro-Bold" w:hAnsi="Times New Roman" w:cs="Times New Roman"/>
          <w:b/>
          <w:bCs/>
          <w:color w:val="000000"/>
          <w:sz w:val="28"/>
          <w:szCs w:val="28"/>
          <w:lang w:eastAsia="en-US"/>
        </w:rPr>
        <w:t>Опосредованное обучение</w:t>
      </w:r>
    </w:p>
    <w:p w:rsidR="00E55B10" w:rsidRPr="00464586" w:rsidRDefault="00DE3617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При опосредованном обучении компания передает необходимые знания профессионалам,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оказывающим влияние на выбор потребителей.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Например, L’Oreal и Wella соревнуются в привлечении большего количества парикмахеров-стилистов на свою сторону. Обычно такие программы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требуют большой вовлеченности персонала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компании и значительного бюджета, т.к. одной из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задач </w:t>
      </w:r>
      <w:r w:rsidR="00E55B10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является создание и закрепление эмоциональной привязки профессионалов к конкретному бренду. Сейчас, когда рынок насыщен однотипными товарами и программы, приносящие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55B10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быстрый успех, легко копируют конкуренты, за-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55B10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воевать специалистов не так просто. Необходимо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55B10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глубокое знание профессиональной аудитории,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55B10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системность и последовательность предпринимаемых действий. Долгий перерыв в общении и</w:t>
      </w:r>
      <w:r w:rsidR="008A7C1B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55B10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непродуманные коммуникации дорого обойдутся компании: врачи и фармацевты начинают рекомендовать товары-дженерики, стилисты присматриваются к новинкам конкурентов.</w:t>
      </w:r>
    </w:p>
    <w:p w:rsidR="00E55B10" w:rsidRPr="00464586" w:rsidRDefault="00E55B10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Особенностью опосредованного обучения является специфичность профессиональной среды:</w:t>
      </w:r>
      <w:r w:rsidR="00AA6B7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высокие самооценка и уровень знаний специалистов, общее негативное отношение к дилетантам.</w:t>
      </w:r>
      <w:r w:rsidR="00AA6B7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В зависимости от продукта и специализации посредников следует выбирать определенную тактику поведения. Компания может общаться на</w:t>
      </w:r>
      <w:r w:rsidR="00AA6B7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равных либо, действуя в какой-то узкой сфере</w:t>
      </w:r>
      <w:r w:rsidR="00AA6B7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(например, предметы личной гигиены), обращаться к профессионалам за консультацией и</w:t>
      </w:r>
      <w:r w:rsidR="00AA6B7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одобрением.</w:t>
      </w:r>
    </w:p>
    <w:p w:rsidR="00E55B10" w:rsidRPr="00481B82" w:rsidRDefault="00E55B10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481B82">
        <w:rPr>
          <w:rFonts w:ascii="Times New Roman" w:eastAsia="MyriadPro-Bold" w:hAnsi="Times New Roman" w:cs="Times New Roman"/>
          <w:b/>
          <w:bCs/>
          <w:color w:val="000000"/>
          <w:sz w:val="28"/>
          <w:szCs w:val="28"/>
          <w:lang w:eastAsia="en-US"/>
        </w:rPr>
        <w:t>Привлечение авторитетных лиц или</w:t>
      </w:r>
      <w:r w:rsidR="00AA6B74" w:rsidRPr="00481B82">
        <w:rPr>
          <w:rFonts w:ascii="Times New Roman" w:eastAsia="MyriadPro-Bold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481B82">
        <w:rPr>
          <w:rFonts w:ascii="Times New Roman" w:eastAsia="MyriadPro-Bold" w:hAnsi="Times New Roman" w:cs="Times New Roman"/>
          <w:b/>
          <w:bCs/>
          <w:color w:val="000000"/>
          <w:sz w:val="28"/>
          <w:szCs w:val="28"/>
          <w:lang w:eastAsia="en-US"/>
        </w:rPr>
        <w:t>организаций</w:t>
      </w:r>
    </w:p>
    <w:p w:rsidR="00E55B10" w:rsidRPr="00464586" w:rsidRDefault="00E55B10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Привлечение авторитетных лиц или организаций призвано повышать доверие к деятельности</w:t>
      </w:r>
      <w:r w:rsidR="00AA6B7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производителя. Важно правильно определить, кто</w:t>
      </w:r>
      <w:r w:rsidR="00AA6B7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является гуру для целевой аудитории, и убедиться</w:t>
      </w:r>
      <w:r w:rsidR="00AA6B7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в том, что его рекомендация работает. Этот элемент обучающих программ требует внимательного отношения и ясного видения перспективы.</w:t>
      </w:r>
    </w:p>
    <w:p w:rsidR="00E55B10" w:rsidRPr="00464586" w:rsidRDefault="00E55B10" w:rsidP="0046458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Приверженность авторитетного лица / организации бренду должна быть искренней. Одно это</w:t>
      </w:r>
      <w:r w:rsidR="00AA6B7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условие создает значительные проблемы при выборе партнера. Например, намерения профессиональной ассоциации могут полностью совпадать с</w:t>
      </w:r>
      <w:r w:rsidR="00AA6B7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планами компании по обучению населения, но в</w:t>
      </w:r>
      <w:r w:rsidR="00AA6B7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конечном итоге первая не будет видеть разницы</w:t>
      </w:r>
      <w:r w:rsidR="00AA6B7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между аналогичными брендами. Плодами труда</w:t>
      </w:r>
      <w:r w:rsidR="00AA6B7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фирмы обязательно воспользуются конкуренты, которым будет гораздо проще</w:t>
      </w:r>
      <w:r w:rsidR="00AA6B7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идти уже проторенным путем.</w:t>
      </w:r>
    </w:p>
    <w:p w:rsidR="00E55B10" w:rsidRPr="00464586" w:rsidRDefault="00E55B10" w:rsidP="0046458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Решившись на такое сотрудничество, необходимо максимально использовать гуру в обучении потребителей. Создав устойчивую связь в</w:t>
      </w:r>
      <w:r w:rsidR="00A16738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сознании целевой аудитории, можно не только</w:t>
      </w:r>
      <w:r w:rsidR="00A16738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повысить доверие к бренду, но и предотвратить</w:t>
      </w:r>
      <w:r w:rsidR="00A16738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возможность использования имени авторитетного лица конкурентами.</w:t>
      </w:r>
    </w:p>
    <w:p w:rsidR="00E55B10" w:rsidRPr="00464586" w:rsidRDefault="00E55B10" w:rsidP="0046458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В обучающей программе роли партнеров</w:t>
      </w:r>
      <w:r w:rsidR="0077172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должны быть четко определены и соответствовать</w:t>
      </w:r>
      <w:r w:rsidR="0077172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их возможностям. Ошибочно поручать профессиональной ассоциации заниматься логистикой программы, несмотря на то, что это на первый взгляд кажется экономичным вариантом. Например, известны случаи, когда врачи хранили все раздаточные материалы у себя дома, как на складе. Каждый должен</w:t>
      </w:r>
      <w:r w:rsidR="0077172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заниматься тем, что у него получается лучше всего.</w:t>
      </w:r>
    </w:p>
    <w:p w:rsidR="00E55B10" w:rsidRPr="00481B82" w:rsidRDefault="00481B82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MyriadPro-Bold" w:hAnsi="Times New Roman"/>
          <w:color w:val="000000"/>
          <w:sz w:val="28"/>
          <w:szCs w:val="28"/>
          <w:lang w:eastAsia="en-US"/>
        </w:rPr>
        <w:br w:type="page"/>
      </w:r>
      <w:r w:rsidR="00E55B10" w:rsidRPr="00481B82">
        <w:rPr>
          <w:rFonts w:ascii="Times New Roman" w:eastAsia="MyriadPro-Bold" w:hAnsi="Times New Roman" w:cs="Times New Roman"/>
          <w:b/>
          <w:bCs/>
          <w:color w:val="000000"/>
          <w:sz w:val="28"/>
          <w:szCs w:val="28"/>
          <w:lang w:eastAsia="en-US"/>
        </w:rPr>
        <w:t>НЕЭФФЕКТИВНОСТЬ ОБУЧАЮЩИХ</w:t>
      </w:r>
      <w:r w:rsidR="00771724" w:rsidRPr="00481B82">
        <w:rPr>
          <w:rFonts w:ascii="Times New Roman" w:eastAsia="MyriadPro-Bold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E55B10" w:rsidRPr="00481B82">
        <w:rPr>
          <w:rFonts w:ascii="Times New Roman" w:eastAsia="MyriadPro-Bold" w:hAnsi="Times New Roman" w:cs="Times New Roman"/>
          <w:b/>
          <w:bCs/>
          <w:color w:val="000000"/>
          <w:sz w:val="28"/>
          <w:szCs w:val="28"/>
          <w:lang w:eastAsia="en-US"/>
        </w:rPr>
        <w:t>ПРОГРАММ</w:t>
      </w:r>
    </w:p>
    <w:p w:rsidR="00481B82" w:rsidRDefault="00481B82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Regular" w:hAnsi="Times New Roman"/>
          <w:color w:val="000000"/>
          <w:sz w:val="28"/>
          <w:szCs w:val="28"/>
          <w:lang w:eastAsia="en-US"/>
        </w:rPr>
      </w:pPr>
    </w:p>
    <w:p w:rsidR="00E55B10" w:rsidRPr="00464586" w:rsidRDefault="00E55B10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Казалось бы, обучение целевой аудитории</w:t>
      </w:r>
      <w:r w:rsidR="0077172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должно принести выгоду, но не все так просто.</w:t>
      </w:r>
      <w:r w:rsidR="0077172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Многие обучающие программы превращаются в</w:t>
      </w:r>
      <w:r w:rsidR="0077172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громоздкий довесок маркетинга, расходующий</w:t>
      </w:r>
      <w:r w:rsidR="0077172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бюджет. В результате недовольство руководства</w:t>
      </w:r>
      <w:r w:rsidR="0077172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увеличивается. Почему так происходит? Это объясняется следующими причинами.</w:t>
      </w:r>
    </w:p>
    <w:p w:rsidR="00E55B10" w:rsidRPr="00464586" w:rsidRDefault="00E55B10" w:rsidP="0046458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Неясность цели, двойственность ее постановки разрушает любое хорошее начинание. Необходимо четко понимать, зачем компания собирается вкладывать деньги в обучение потребителей.</w:t>
      </w:r>
      <w:r w:rsidR="0077172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Что это: социальный проект или бизнес? Как будет</w:t>
      </w:r>
      <w:r w:rsidR="0077172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проходить оценка мероприятия: по откликам людей и повышению уровня знаний по теме или по тому, как выросли продажи? Первый параметр хорош</w:t>
      </w:r>
      <w:r w:rsidR="0077172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для PR, второй позволит рассматривать обучающие</w:t>
      </w:r>
      <w:r w:rsidR="0077172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программы как эффективное средство маркетинга.</w:t>
      </w:r>
      <w:r w:rsidR="0077172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В связи с этим необходимо определиться с приоритетами и следовать выбранному пути.</w:t>
      </w:r>
    </w:p>
    <w:p w:rsidR="000D4482" w:rsidRPr="00464586" w:rsidRDefault="00E55B10" w:rsidP="0046458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yriadPro-Regular" w:hAnsi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Недобросовестность исполнения. Выбор</w:t>
      </w:r>
      <w:r w:rsidR="00771724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BTL-агентства иногда напоминает русскую рулетку.</w:t>
      </w:r>
    </w:p>
    <w:p w:rsidR="00E55B10" w:rsidRPr="00464586" w:rsidRDefault="00E55B10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За хорошей презентацией и приемлемым бюджетом могут скрываться слабая организация и равнодушное отношение к делу. В этом случае спасет только регулярный контроль и жесткая система штрафов.</w:t>
      </w:r>
    </w:p>
    <w:p w:rsidR="000D4482" w:rsidRPr="00464586" w:rsidRDefault="000D4482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Bold" w:hAnsi="Times New Roman"/>
          <w:color w:val="000000"/>
          <w:sz w:val="28"/>
          <w:szCs w:val="28"/>
          <w:lang w:eastAsia="en-US"/>
        </w:rPr>
      </w:pPr>
    </w:p>
    <w:p w:rsidR="00481B82" w:rsidRDefault="00E55B10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Bold" w:hAnsi="Times New Roman"/>
          <w:b/>
          <w:bCs/>
          <w:color w:val="000000"/>
          <w:sz w:val="28"/>
          <w:szCs w:val="28"/>
          <w:lang w:eastAsia="en-US"/>
        </w:rPr>
      </w:pPr>
      <w:r w:rsidRPr="00481B82">
        <w:rPr>
          <w:rFonts w:ascii="Times New Roman" w:eastAsia="MyriadPro-Bold" w:hAnsi="Times New Roman" w:cs="Times New Roman"/>
          <w:b/>
          <w:bCs/>
          <w:color w:val="000000"/>
          <w:sz w:val="28"/>
          <w:szCs w:val="28"/>
          <w:lang w:eastAsia="en-US"/>
        </w:rPr>
        <w:t>ТРУДНОСТИ В ОЦЕНКЕ ЭФФЕКТИВНОСТИ</w:t>
      </w:r>
      <w:r w:rsidR="00771724" w:rsidRPr="00481B82">
        <w:rPr>
          <w:rFonts w:ascii="Times New Roman" w:eastAsia="MyriadPro-Bold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481B82">
        <w:rPr>
          <w:rFonts w:ascii="Times New Roman" w:eastAsia="MyriadPro-Bold" w:hAnsi="Times New Roman" w:cs="Times New Roman"/>
          <w:b/>
          <w:bCs/>
          <w:color w:val="000000"/>
          <w:sz w:val="28"/>
          <w:szCs w:val="28"/>
          <w:lang w:eastAsia="en-US"/>
        </w:rPr>
        <w:t xml:space="preserve">ОБУЧАЮЩЕЙ </w:t>
      </w:r>
    </w:p>
    <w:p w:rsidR="00E55B10" w:rsidRPr="00481B82" w:rsidRDefault="00E55B10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481B82">
        <w:rPr>
          <w:rFonts w:ascii="Times New Roman" w:eastAsia="MyriadPro-Bold" w:hAnsi="Times New Roman" w:cs="Times New Roman"/>
          <w:b/>
          <w:bCs/>
          <w:color w:val="000000"/>
          <w:sz w:val="28"/>
          <w:szCs w:val="28"/>
          <w:lang w:eastAsia="en-US"/>
        </w:rPr>
        <w:t>ПРОГРАММЫ</w:t>
      </w:r>
    </w:p>
    <w:p w:rsidR="00481B82" w:rsidRDefault="00481B82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Regular" w:hAnsi="Times New Roman"/>
          <w:color w:val="000000"/>
          <w:sz w:val="28"/>
          <w:szCs w:val="28"/>
          <w:lang w:eastAsia="en-US"/>
        </w:rPr>
      </w:pPr>
    </w:p>
    <w:p w:rsidR="00E55B10" w:rsidRPr="00464586" w:rsidRDefault="00E55B10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Трудности в основном возникают при оценке</w:t>
      </w:r>
      <w:r w:rsidR="000D4482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долгосрочных программ. Есть два пути решения</w:t>
      </w:r>
      <w:r w:rsidR="000D4482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проблем.</w:t>
      </w:r>
    </w:p>
    <w:p w:rsidR="000D4482" w:rsidRPr="00464586" w:rsidRDefault="00E55B10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Regular" w:hAnsi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1. Руководство компании соглашается с тем, что</w:t>
      </w:r>
      <w:r w:rsidR="000D4482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обучение потребителей стратегически важно для</w:t>
      </w:r>
      <w:r w:rsidR="000D4482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бренда. Тогда оценка эффективности сводится к</w:t>
      </w:r>
      <w:r w:rsidR="000D4482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исследованиям качества исполнения программы.</w:t>
      </w:r>
    </w:p>
    <w:p w:rsidR="000D4482" w:rsidRPr="00464586" w:rsidRDefault="00E55B10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Regular" w:hAnsi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2. Руководство готово потратить время и</w:t>
      </w:r>
      <w:r w:rsidR="000D4482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средства на поиск адекватного метода оценки</w:t>
      </w:r>
      <w:r w:rsidR="000D4482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влияния обучающей программы на продажи.</w:t>
      </w:r>
    </w:p>
    <w:p w:rsidR="000D4482" w:rsidRPr="00464586" w:rsidRDefault="00E55B10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Regular" w:hAnsi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В этом случае изучения динамики целостного</w:t>
      </w:r>
      <w:r w:rsidR="000D4482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восприятия бренда целевой аудиторией недостаточно, необходимы конкретные цифры, показывающие рост продаж. Это серьезная регулярная</w:t>
      </w:r>
      <w:r w:rsidR="000D4482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работа с отделом по исследованиям рынка, позволяющая отследить эффективность программ</w:t>
      </w:r>
      <w:r w:rsidR="000D4482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ы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на разных временных отрезках. Основной принцип исследования — оценка до и после проведения программы.</w:t>
      </w:r>
    </w:p>
    <w:p w:rsidR="00BE69F2" w:rsidRPr="00464586" w:rsidRDefault="00E55B10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Regular" w:hAnsi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Итак, обучающие программы могут быть важной формой коммуникации с целевой аудиторией. При выводе нового бренда или репозиционировании с лучшей стороны показали себя краткосрочные обучающие программы. Для брендов, занявших место на рынке, обучение потребителей в</w:t>
      </w:r>
      <w:r w:rsidR="00465FA1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течение длительного периода при грамотном</w:t>
      </w:r>
      <w:r w:rsidR="000D4482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подходе может стать </w:t>
      </w:r>
      <w:r w:rsidR="00481B82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«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козырной картой</w:t>
      </w:r>
      <w:r w:rsidR="00481B82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»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в борьбе</w:t>
      </w:r>
      <w:r w:rsidR="000D4482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с конкурентами. Важно сохранить баланс между</w:t>
      </w:r>
      <w:r w:rsidR="000D4482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социальным характером программы, воспринимаемым обществом, и коммерческой эффективностью, важной для фирмы. Исполнители и руководство компании должны иметь единую картину</w:t>
      </w:r>
      <w:r w:rsidR="000D4482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планируемой обучающей программы и согласовывать ожидания от ее исполнения.</w:t>
      </w:r>
    </w:p>
    <w:p w:rsidR="00E55B10" w:rsidRPr="00464586" w:rsidRDefault="00E55B10" w:rsidP="00464586">
      <w:pPr>
        <w:spacing w:after="0" w:line="360" w:lineRule="auto"/>
        <w:ind w:firstLine="709"/>
        <w:jc w:val="both"/>
        <w:rPr>
          <w:rFonts w:ascii="Times New Roman" w:eastAsia="MyriadPro-Regular" w:hAnsi="Times New Roman"/>
          <w:color w:val="000000"/>
          <w:sz w:val="28"/>
          <w:szCs w:val="28"/>
          <w:lang w:eastAsia="en-US"/>
        </w:rPr>
      </w:pPr>
    </w:p>
    <w:p w:rsidR="00E55B10" w:rsidRPr="00464586" w:rsidRDefault="00464586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MyriadPro-Bold" w:hAnsi="Times New Roman"/>
          <w:color w:val="000000"/>
          <w:sz w:val="28"/>
          <w:szCs w:val="28"/>
          <w:lang w:eastAsia="en-US"/>
        </w:rPr>
        <w:br w:type="page"/>
      </w:r>
      <w:r w:rsidR="00E55B10" w:rsidRPr="00464586">
        <w:rPr>
          <w:rFonts w:ascii="Times New Roman" w:eastAsia="MyriadPro-Bold" w:hAnsi="Times New Roman" w:cs="Times New Roman"/>
          <w:b/>
          <w:bCs/>
          <w:color w:val="000000"/>
          <w:sz w:val="28"/>
          <w:szCs w:val="28"/>
          <w:lang w:eastAsia="en-US"/>
        </w:rPr>
        <w:t>ЛИТЕРАТУРА</w:t>
      </w:r>
    </w:p>
    <w:p w:rsidR="00464586" w:rsidRPr="00464586" w:rsidRDefault="00464586" w:rsidP="00464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yriadPro-Regular" w:hAnsi="Times New Roman"/>
          <w:color w:val="000000"/>
          <w:sz w:val="28"/>
          <w:szCs w:val="28"/>
          <w:lang w:eastAsia="en-US"/>
        </w:rPr>
      </w:pPr>
    </w:p>
    <w:p w:rsidR="00E55B10" w:rsidRPr="00464586" w:rsidRDefault="00E55B10" w:rsidP="00464586">
      <w:pPr>
        <w:autoSpaceDE w:val="0"/>
        <w:autoSpaceDN w:val="0"/>
        <w:adjustRightInd w:val="0"/>
        <w:spacing w:after="0" w:line="360" w:lineRule="auto"/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1. Бойетт Дж., Бойетт Д. Гуру маркетинга. — М.: ЭКСМО, 2004.</w:t>
      </w:r>
    </w:p>
    <w:p w:rsidR="00E55B10" w:rsidRPr="00464586" w:rsidRDefault="00E55B10" w:rsidP="00464586">
      <w:pPr>
        <w:autoSpaceDE w:val="0"/>
        <w:autoSpaceDN w:val="0"/>
        <w:adjustRightInd w:val="0"/>
        <w:spacing w:after="0" w:line="360" w:lineRule="auto"/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2. Большой энциклопедический словарь. Философия. Социология. Религия</w:t>
      </w:r>
      <w:r w:rsidR="000D4482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Эзотеризм. Политэкономия / Гл. ред. и сост. С.Ю. Солодовников. — Минск: МФЦП, 2002.</w:t>
      </w:r>
    </w:p>
    <w:p w:rsidR="00E55B10" w:rsidRPr="00464586" w:rsidRDefault="00E55B10" w:rsidP="00464586">
      <w:pPr>
        <w:autoSpaceDE w:val="0"/>
        <w:autoSpaceDN w:val="0"/>
        <w:adjustRightInd w:val="0"/>
        <w:spacing w:after="0" w:line="360" w:lineRule="auto"/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3. Капферер Ж.-Н. Бренд навсегда: создание, развитие, поддержка ценности бренда / Пер. с англ. Е.В. Виноградовой. — М.: Вершина,</w:t>
      </w:r>
    </w:p>
    <w:p w:rsidR="00E55B10" w:rsidRPr="00464586" w:rsidRDefault="00E55B10" w:rsidP="00464586">
      <w:pPr>
        <w:autoSpaceDE w:val="0"/>
        <w:autoSpaceDN w:val="0"/>
        <w:adjustRightInd w:val="0"/>
        <w:spacing w:after="0" w:line="360" w:lineRule="auto"/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2007.</w:t>
      </w:r>
    </w:p>
    <w:p w:rsidR="00E55B10" w:rsidRPr="00464586" w:rsidRDefault="00E55B10" w:rsidP="00464586">
      <w:pPr>
        <w:autoSpaceDE w:val="0"/>
        <w:autoSpaceDN w:val="0"/>
        <w:adjustRightInd w:val="0"/>
        <w:spacing w:after="0" w:line="360" w:lineRule="auto"/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4. Сайт компании Техносад. — http://www.technosad.ru.</w:t>
      </w:r>
    </w:p>
    <w:p w:rsidR="00E55B10" w:rsidRPr="00464586" w:rsidRDefault="00E55B10" w:rsidP="00464586">
      <w:pPr>
        <w:autoSpaceDE w:val="0"/>
        <w:autoSpaceDN w:val="0"/>
        <w:adjustRightInd w:val="0"/>
        <w:spacing w:after="0" w:line="360" w:lineRule="auto"/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5. Сайт компании Nestle. — http://www.nestle.ru.</w:t>
      </w:r>
    </w:p>
    <w:p w:rsidR="00E55B10" w:rsidRPr="00464586" w:rsidRDefault="00E55B10" w:rsidP="00464586">
      <w:pPr>
        <w:autoSpaceDE w:val="0"/>
        <w:autoSpaceDN w:val="0"/>
        <w:adjustRightInd w:val="0"/>
        <w:spacing w:after="0" w:line="360" w:lineRule="auto"/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6. Сайт центра дистанционного образования </w:t>
      </w:r>
      <w:r w:rsidRPr="00464586">
        <w:rPr>
          <w:rFonts w:ascii="Cambria Math" w:eastAsia="MyriadPro-Regular" w:hAnsi="Cambria Math" w:cs="Cambria Math"/>
          <w:color w:val="000000"/>
          <w:sz w:val="28"/>
          <w:szCs w:val="28"/>
          <w:lang w:eastAsia="en-US"/>
        </w:rPr>
        <w:t>≪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Элитариум</w:t>
      </w:r>
      <w:r w:rsidRPr="00464586">
        <w:rPr>
          <w:rFonts w:ascii="Cambria Math" w:eastAsia="MyriadPro-Regular" w:hAnsi="Cambria Math" w:cs="Cambria Math"/>
          <w:color w:val="000000"/>
          <w:sz w:val="28"/>
          <w:szCs w:val="28"/>
          <w:lang w:eastAsia="en-US"/>
        </w:rPr>
        <w:t>≫</w:t>
      </w:r>
      <w:r w:rsidR="000D4482"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http://www.elitarium.ru.</w:t>
      </w:r>
    </w:p>
    <w:p w:rsidR="00E55B10" w:rsidRPr="00464586" w:rsidRDefault="00E55B10" w:rsidP="00464586">
      <w:pPr>
        <w:autoSpaceDE w:val="0"/>
        <w:autoSpaceDN w:val="0"/>
        <w:adjustRightInd w:val="0"/>
        <w:spacing w:after="0" w:line="360" w:lineRule="auto"/>
        <w:rPr>
          <w:rFonts w:ascii="Times New Roman" w:eastAsia="MyriadPro-Regular" w:hAnsi="Times New Roman" w:cs="Times New Roman"/>
          <w:color w:val="000000"/>
          <w:sz w:val="28"/>
          <w:szCs w:val="28"/>
          <w:lang w:val="en-US"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val="en-US" w:eastAsia="en-US"/>
        </w:rPr>
        <w:t xml:space="preserve">7. 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Сайт</w:t>
      </w: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val="en-US" w:eastAsia="en-US"/>
        </w:rPr>
        <w:t xml:space="preserve"> Blend-a-med. — http://www.blendamed.ru.</w:t>
      </w:r>
    </w:p>
    <w:p w:rsidR="00E55B10" w:rsidRPr="00464586" w:rsidRDefault="00E55B10" w:rsidP="00464586">
      <w:pPr>
        <w:spacing w:after="0" w:line="360" w:lineRule="auto"/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</w:pPr>
      <w:r w:rsidRPr="00464586">
        <w:rPr>
          <w:rFonts w:ascii="Times New Roman" w:eastAsia="MyriadPro-Regular" w:hAnsi="Times New Roman" w:cs="Times New Roman"/>
          <w:color w:val="000000"/>
          <w:sz w:val="28"/>
          <w:szCs w:val="28"/>
          <w:lang w:eastAsia="en-US"/>
        </w:rPr>
        <w:t>8. Траут Дж. Позиционирование: битва за умы. — СПб.: Питер, 2006.</w:t>
      </w:r>
      <w:bookmarkStart w:id="0" w:name="_GoBack"/>
      <w:bookmarkEnd w:id="0"/>
    </w:p>
    <w:sectPr w:rsidR="00E55B10" w:rsidRPr="00464586" w:rsidSect="00464586">
      <w:pgSz w:w="11906" w:h="16838"/>
      <w:pgMar w:top="1134" w:right="850" w:bottom="1134" w:left="1701" w:header="72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765E75"/>
    <w:multiLevelType w:val="hybridMultilevel"/>
    <w:tmpl w:val="D7F21B76"/>
    <w:lvl w:ilvl="0" w:tplc="9C224B00">
      <w:start w:val="8"/>
      <w:numFmt w:val="bullet"/>
      <w:lvlText w:val=""/>
      <w:lvlJc w:val="left"/>
      <w:pPr>
        <w:ind w:left="720" w:hanging="360"/>
      </w:pPr>
      <w:rPr>
        <w:rFonts w:ascii="Symbol" w:eastAsia="MyriadPro-Regular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72E"/>
    <w:rsid w:val="000D4482"/>
    <w:rsid w:val="001B0A98"/>
    <w:rsid w:val="002B0803"/>
    <w:rsid w:val="003A6E74"/>
    <w:rsid w:val="003B472E"/>
    <w:rsid w:val="00414806"/>
    <w:rsid w:val="00464586"/>
    <w:rsid w:val="00465FA1"/>
    <w:rsid w:val="00481B82"/>
    <w:rsid w:val="004C2D46"/>
    <w:rsid w:val="004D3A00"/>
    <w:rsid w:val="00771724"/>
    <w:rsid w:val="00797473"/>
    <w:rsid w:val="008A7C1B"/>
    <w:rsid w:val="008D0ED9"/>
    <w:rsid w:val="00A16738"/>
    <w:rsid w:val="00AA6B74"/>
    <w:rsid w:val="00BE69F2"/>
    <w:rsid w:val="00DE3617"/>
    <w:rsid w:val="00E55B10"/>
    <w:rsid w:val="00EA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698DD9-AC4A-417A-BFA5-560D4220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72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......."/>
    <w:basedOn w:val="a"/>
    <w:next w:val="a"/>
    <w:uiPriority w:val="99"/>
    <w:rsid w:val="003B472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4">
    <w:name w:val="......."/>
    <w:basedOn w:val="a"/>
    <w:next w:val="a"/>
    <w:uiPriority w:val="99"/>
    <w:rsid w:val="003B472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B47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E55B10"/>
    <w:pPr>
      <w:ind w:left="720"/>
    </w:pPr>
  </w:style>
  <w:style w:type="character" w:customStyle="1" w:styleId="a6">
    <w:name w:val="Текст выноски Знак"/>
    <w:link w:val="a5"/>
    <w:uiPriority w:val="99"/>
    <w:semiHidden/>
    <w:locked/>
    <w:rsid w:val="003B472E"/>
    <w:rPr>
      <w:rFonts w:ascii="Tahoma" w:eastAsia="Times New Roman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3343</Words>
  <Characters>19061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Дом</Company>
  <LinksUpToDate>false</LinksUpToDate>
  <CharactersWithSpaces>22360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Алена</dc:creator>
  <cp:keywords/>
  <dc:description/>
  <cp:lastModifiedBy>admin</cp:lastModifiedBy>
  <cp:revision>2</cp:revision>
  <dcterms:created xsi:type="dcterms:W3CDTF">2014-02-24T06:15:00Z</dcterms:created>
  <dcterms:modified xsi:type="dcterms:W3CDTF">2014-02-24T06:15:00Z</dcterms:modified>
</cp:coreProperties>
</file>