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657C" w:rsidRDefault="002F657C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Общества Девнего Востока</w:t>
      </w:r>
    </w:p>
    <w:p w:rsidR="002F657C" w:rsidRDefault="002F657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Общая характеристика права и институтов государства (Египет, Индия, Вавилон)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Развитие государственности относят к 4-3 вв. до н.э. Первые государства представляли собой попытки приспособления людей к новым условиям, попытки разрешить внутренние противоречия: выделение господствующих групп и попытки этих групп выдать свои интересы за общие.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Пути возникновения (по Дьяконову):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Египетский путь - отсутствие правовых отношений, полная централизация, необходимость принудительной общности всех членов общества.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Шумеро-Вавилонский - работа каждого отдельного владельца небольшого участка, находящегося в договорных отношениях с государством.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В этих странах причина возникновения государства - необходимость организации больших масс народа  для постройки ирригационных сооружений.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Особенности государственного строя: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Типичная форма правления - деспотия. Ее признаки: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неограниченная власть монарха;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обожествление личности монарха и сосредоточение в его руках религиозной власти;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наличие централизованного бюрократического аппарата чиновников;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признание монарха верховным собственником всей земли.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Признаки Права: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практически все законы и правовые акты представляют собой запись обычаев;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право очень тесно связано с религией, понятие греховное и преступное во многом совпадают, религиозные нормы служат источником правовых норм;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наличие пережитков первобытнообщинного строя - талион, кровная месть;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низкий уровень юридической техники: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а) казуистичность - перечисляются отдельные случаи, нет общих формулировок;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б) отсутствие системы.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Особенности: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Египет - объединение этносов: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поддержание этнической целостности;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общество не знало письменного права (осн. регулятор - власть);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господствующих групп было несколько: жречество, аппарат управления, военный аппарат.</w:t>
      </w:r>
    </w:p>
    <w:p w:rsidR="002F657C" w:rsidRDefault="002F657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1. Возникновение государства.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На основе массовых работ, где стал применяться труд рабов. На рубеже 4-3 тысячелетий до н.э. складываются области - номы. Древнее основание нома - племя. Во главе - “царь” - начальник канала и верховный местный жрец.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Объединение: 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 этап - Верхний и Нижний Египет (30 в. до н.э., Мина); 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 этап - раннее царство (30-23 вв. до н.э.) - насильственно объединяются.</w:t>
      </w:r>
    </w:p>
    <w:p w:rsidR="002F657C" w:rsidRDefault="002F657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2. Развитие государства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 период - Древ. царство (28-23 вв. до н.э.);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 период - Сред. царство (22-17 вв. до н.э.);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 период - Новое царство (16-12 вв. до н.э.);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Поздний период (11-4 вв. до н.э.);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Греко-римский период (4 в. до н.э.- 4 в. н.э.)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Все периоды глава гос-ва - фараон (большой белый дом). Система наследования - майорат (от отца к старшему сыну) в пределах одной династии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Основные черты гос. строя: власть фараона не ограничена, степень централизации огромна; центральное управление возглавляет визирь: архив, высшая судебная инстанция, управление.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Гос. аппарат строго регламентирован. Каждая из групп имела свои госуд. органы: жречество обособлялось, военные имели свое ведомство, управленцы и писцы - канцелярия.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Армия. Со времен древнего царства основа - профессионалы. Для походов набиралось ополчение. Существовали др. службы: полиция, охрана, др.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Суд. Глава судебной власти - царь-фараон. Высшее судебное учреждение - шесть палат. Глава - визирь. В период Нового царства судеб. власть осуществлялась особыми коллегиями - кенбетами. Кроме госуд. судов, были суды храмовые.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Вавилон - объединение городов-государств: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существовало право как оформление государственной воли;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отсутствовало понятие политической элиты.</w:t>
      </w:r>
    </w:p>
    <w:p w:rsidR="002F657C" w:rsidRDefault="002F657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Шумер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3-е тысячелетие до н.э. - возникают города-государства. Глава города - энси или лугаль. Власть его ограничена советом или общинным собранием. Существовали: профессиональные - войско и чиновники.</w:t>
      </w:r>
    </w:p>
    <w:p w:rsidR="002F657C" w:rsidRDefault="002F657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Вавилон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Ок. 18 в. до н.э. Вавилон подчиняет себе Шумер и всю территорию до Сирии. 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Гос. строй: Власть царей в принципе не ограничена. Чиновники и судьи действуют по их поручениям.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Армия: Профессиональные воины наделяются землей исключительно в качестве платы за службу - покупка запрещена!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Суд: Специальный чиновник. Существовали и судебные коллегии “из старейших и именитых людей города.” Верховный суд - царь. 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Индия - объединение на основе внешних завоеваний: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четко фиксированная кастовость общества;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неразделенность понятия права и религии;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община особым изменениям не подверглась.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Время появления ариев в Индии - 2 тысячелетие до н.э. В ходе завоевания и расселения происходит обогащение родовой и военной знати. Параллельно с образованием классов и сословий идет процесс образования племенных союзов. Каждая община до определенного времени сохраняла свою самобытность.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Государство Маурьев (4 в. до н.э.) - рабовладельческая монархия с элементами первобытнообщинной демократии.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Гос. строй: Царь - управление, надзор за ирригацией, командование армией, управление финансами. Высший совет государства: паришад - потомственные сановники; широкое представительное собрание: сабха - сановники + представители городов и сельских общин.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Суд. Высшая власть - император. Назначает и смещает судебных чиновников.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Территориальное деление. Провинция с назначенными из центра управителями округа -&gt; ганы.</w:t>
      </w:r>
    </w:p>
    <w:p w:rsidR="002F657C" w:rsidRDefault="002F657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2. Суд и процесс в древнем Египте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Суд в Древнем Египте не был отделен от администрации, например, кенбет (суд, совет, управление). Функция суда сосредоточена в общинных органах самоуправления. Они решают споры о земле, воде, брачных и наследственных отношениях. Высшие должностные лица и номархи были одновременно и верховными судьями. Судопроизводство осуществлялось коллегиально. 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В период нового царства был учрежден центральный суд - кенбет  - 30 знатных граждан из разных городов (находился  под руководством  второго лица в государстве - джати). Существовали кенбеты округов и отдельных городов. Также - храмовые суды из жрецов.  В номах правосудием занимались номархи. 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Фараон был высшей судебной инстанцией, он возглавлял суд “шести палат”. Все свободные египтяне могли обращаться к нему с жалобами и просьбами о помиловании. Фараон имеет право назначить чрезвычайную судебную коллегию для рассмотрения тайных дел, заговоров.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Судопроизводство было не гласным и письменным. Обвиняемый или ответчик давал письменный ответ на обвинение. Дело решалось в тайне без привода мотивов.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Что касается процесса, то гражданский, и уголовный были письменными. Дошедшая до наших дней  инструкция фараона отмечает, что любое изречение, решение и т.д. должно быть записано.  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Несмотря на это в древнеегипетском суде  присутствовали некоторые элементы состязательности. Помимо клятвы, одним из наиболее популярных способов доказательства правоты той или иной  стороны в процессе был т.н. судебный оракул. Обычно  по праздничным дням  истец  или ответчик обращались к статуе  какого-либо бога с просьбой  о рассмотрении  текущего дела и вынесении соответствующего решения. Причиной  популярности судебного оракула  заключается в устности и  гласности подобного процесса.</w:t>
      </w:r>
    </w:p>
    <w:p w:rsidR="002F657C" w:rsidRDefault="002F657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3. Публичное право древнего Египта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Государство в Древнем Египте имело форму деспотии. На вершине гос. власти стоял фараон, к-рый являлся олицетворением бога, но не богом. Фараон - глава культа.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Везир (джати) - светский владыка, он был верховным судьей (жрец богини Маат). Его полномочия изложены в правовом акте “Инструкция везирю”: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–возлюбленный товарищ царя;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-везир разрешает говорить во дворце;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–везир несет обязанности по народному хозяйству (регулирование посевов, ирригационных систем, земельных отношений);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–везир -  глава бюрократического корпуса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–везир - ЕДИНСТВЕННЫЙ товарищ царя. 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Власть на местах. После объединения Египта в одно гос-во (22 в. до н.э.) прежние царьки - главы номов  - превратились в зависимых от фараона должностных лиц - НОМАРХОВ. Они обладали в пределах номов высшей судебной и административной властью и собирали налоги в казну. В их распоряжении был штат чиновников. </w:t>
      </w:r>
    </w:p>
    <w:p w:rsidR="002F657C" w:rsidRDefault="002F657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4. Кодекс царя Хаммурапи: общая характеристика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ЗАКОНЫ ХАММУРАПИ - основа правовой жизни древневавилонского царства. Кодекс был составлен в Вавилоне примерно в 18 столетии до н.э., он состоит из 282 статей. Написан прозой на аккадском языке (этот язык уже тогда был мертвым, на нем говорили только знать и жрецы). В кодексе нет норм религиозного содержания. Он показывает очень высокое экон. развитие Древнего Вавилона в то время. Это первый правовой документ, где отражено сословно-классовое деление об-ва и охраняется частная собственность. Кодекс отличается очень высокой юрид. техникой.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Основные положения направлены на правовое регулирование отношений, связанных с царско-храмовым хозяйством. Не затрагиваются вопросы внутриобщинных     отношений, отношения общин с царской властью в вопросах создания и использования ирригационных сооружений.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Почти все нормы носят материальный характер. Пример - ст. 25-40 - содержат нормы о наделении воинов землей за службу, т.е. институт поместного права.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Ряд положений закреплял старые обычаи родового строя: коллективная ответственность общины за преступления на ее территории, самосуд, др.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Нормы группируются по предметам правового регулирования (как бы образуя прединституты), переход от одной группы к другой - по методу свободных ассоциаций.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В кодексе содержатся несколько постановлений публичного права (нормы, которые регулируют положения царя и жрецов).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В уголовном праве господствует принцип талиона, причем наказание распространяется не только на преступников (объективное вменение), например, если строитель построил дом, который обрушился и убил сына заказчика, то должно убить сына строителя (ст.230). Смертная казнь применяется редко, например, за воровство гос. имущества, религиозные преступления и в случае талиона. Клятва являлась важным элементом правосудия, а клятвопреступление - тягчайшее преступление и влечет за собою смерть. Нормы уголовного права чередуются с процессуальными нормами, регулирующими имущественные отношения.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В кодексе хорошо проработано частное право, особенно договор аренды. Тогда уже существовала защита добросовестного покупателя от пороков вещи. Достаточно подробно разработаны отношения  найма, займа, дарения, купли-продажи и договор поклажи.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Особенности: казуистичность, тесная связь права с ритуалом, примитивная техника. Нормы, характерные для древнего права: прямое вмешательство гос. аппарата в хозяйственную жизнь.</w:t>
      </w:r>
    </w:p>
    <w:p w:rsidR="002F657C" w:rsidRDefault="002F657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5. Уголовное право по кодексу царя Хаммурапи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В кодексе нет норм общих уголовных принципов, но ряд положений свидетельствует о различном подходе к тем или иным формам вины, соучастию (недоносительство, укрывательство). Вавилоняне не проводили различий между преступлением и гражданским правонарушением.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В области уголовного права в кодексе  главенствует принцип талиона. Допускалось объективное вменение (применение наказания к заведомо виновным лицам), например,  сын строителя дома подлежал смерти, если дом, построенный его отцом обваливался и при этом погибал сын владельца (ст.230). В отдельных случаях допускался самосуд -   вор, крадущий при пожаре или пойманный ночью с поличным мог быть убит без суда. 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Особо опасные для всего общества правонарушения караются смертной казнью как в случае умышленного, так и в случае неосторожного причинения вреда. В некоторых  статьях указывались отягчающие обстоятельства.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Виды преступлений: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–против личности (большая группа норм): умышленное или неумышленное убийство, телесное повреждение, оскорбление словом и действием, ложное обвинение;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–против собственности: особо охранялась собственность дворца или храма. К имущественным преступлениям относились: кража, грабеж, снятие с раба знаков рабства, мошенничество, повреждение или уничтожение чужого имущества;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–против семьи: кровосмешение, неверность жены, распутное поведение, изнасилование, похищение и подмена ребенка;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–другие виды: особые воинские правонарушение, должностное преступление судьи (взятка).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Тяжесть членовредительских наказаний и размер штрафа зависели от социального положения преступника и потерпевшего. Принцип талиона применяется только при равном социальном положении сторон. Повреждение рабу влекли возмещение половины его стоимости, уплачиваемой хозяину. 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Виды наказаний: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а) смертная казнь (утопление, сожжение, сажание на кол);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б) членовредительство (отсечение руки, отрезание уха);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в) другие виды наказаний (рабство, изгнание из общины, штрафы, при этом заведомая непосильность штрафа может быть равносильна смерти преступника).</w:t>
      </w:r>
    </w:p>
    <w:p w:rsidR="002F657C" w:rsidRDefault="002F657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6. Обязательственное право по Кодексу царя Хаммурапи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Кодекс показывает  высокое эконом. развитие Древнего Вавилона. В кодексе достаточно подробно проработаны отношения найма, займа, дарения, купли-продажи и договор поклажи. На все виды существовали твердые цены, что было в русле эконом. политики Хаммурапи.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Причинение вреда чужому имуществу влекло обязанность возмещения убытков.  Собственник пропавшей вещи, обнаружив ее у другого лица, мог ее истребовать через суд. При этом он должен был предоставить свидетелей, подтверждающих его право собственности.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Широко распространен договор займа. Должник должен был вернуть деньги в срок с процентами (до 33,5%).  При невозможности отдать долг должник поступал в долговую кабалу к кредитору на 3 года (ст.117). Договоры личного найма делились на: 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найм благородных профессий; 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найм сельскохозяйственных работников.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Мало статей купли-продажи. Существовала защита добросовестного покупателя от пороков вещи. Претензия - в течении месячного срока (ст.278). При продаже важных вещей (земли, рабов, животных и др.) составлялся письменный документ. 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Много статей по найму имущества. Арендатор был обязан платить плату, а так же возвратить землю в обработанном виде (ст.42,43). 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Договоры поручения, хранения, товарищества - в сфере торговых отношений.</w:t>
      </w:r>
    </w:p>
    <w:p w:rsidR="002F657C" w:rsidRDefault="002F657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7. Наследственное право по кодексу царя Хаммурапи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Наследование по закону только в пределах семьи. Имущество умерших родителей  переходило к их сыновьям поровну. Дочери получали свою долю в виде приданного. Дети от рабынь, усыновленные отцом принимали равное участие в дележе наследства. Если официального признания не было, то они получали лишь свободу. Жена после смерти мужа получала свое приданное, а также особую вдовью долю (с ограниченным распоряжением) или равную с сыновьями наследственную долю. После смерти вдовы доля переходила ее детям.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Отец мог подарить одному из сыновей, “приятному в его глазах” поле, сад или дом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(с составлением письменного документа с печатью), которые после смерти отца не входили в имущество, подлежащее разделу (ст.165). </w:t>
      </w:r>
    </w:p>
    <w:p w:rsidR="002F657C" w:rsidRDefault="002F657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8. Правовое положение различных групп населения в древней Вавилонии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Социальная структура отличалась особой сложностью. Наиболее четкие социальные границы проявились между рабами и рабовладельцами.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Источники рабства: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–за долг (ст.117, 118), ограничивалось тремя годами. Можно было продать за долги зависимых людей; покупка на рынке (ст.280); плен; рождение.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Рабы входили в состав имущества. Рабы дворца и мушкенумов могли вступать в брак со свободными женщинами, их дети считались свободными (ст. 175). Они могли создавать свой дом и приобретать движимое имущество, половина которого после смерти раба переходила его жене, а половина господину раба (ст. 176).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Рабыня, родившая детей от свободного человека после его смерти получала вместе с детьми свободу (ст. 171). Если отец признал таких детей при жизни, то они имели право на наследование его имущества наравне с его детьми, рожденными от жены (ст. 170).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В нововавилонском царстве нашли отражение новые формы рабской эксплуатации, раб все чаще стал выступать в качестве земледельца-арендатора, а за ним признавалось право выступать в суде в качестве истца, ответчика и свидетеля. Во времена Хаммурапи большинством этих прав они не обладали. 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ПРАВОВОЕ НЕРАВЕНСТВО СВОБОДНЫХ отражалось в существовании двух соц. групп: авилумов - общинников, и мушкенумов - царских служилых людей, арендовавших земельные наделы. В отношении авилумов на первый план выходили общинные отношения, а в отношении мушкенумов - отношения собственности. Только владение землей в общине делало человека полноправным, независимо от служебного и социального положения.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По владению средствами производства: эксплуататорская верхушка (высшие царские храмовые чиновники, купцы, ростовщики) и общинники-крестьяне, ведущие самостоятельное мелкое хозяйство. Формы зависимости свободных - долговая кабала, но срок отработки долго был ограничен.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ПРАВОВОЕ ПОЛОЖЕНИЕ ОТДЕЛЬНЫХ ГРУПП. В законах Хаммурапи фигурирует купец - тамкар. Тамкары находились на царской службе и пользовались широкой свободой финансово-экономической деятельности. Существовали шамаллумы - мелкие купцы, выполнявшие одновременно поручения тамкаров (отношения по договору представительства).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Ремесленное производство было полузависимым, практиковалось обучение рабов квалифицированному делу. Ремесленники были подконтрольны дворцу или храму. Большей независимостью пользовались некоторые “ученые” профессии.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Жречество не сложилось в оформленное сословие. Должности жрецов иногда продавались.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Баирум и редум - несшие воинскую повинность. За службу им давалась земля, исключенная из гражданского оборота. Переставая нести повинность, они теряли право на пользование землей. Купившие эту землю (или захватившие ее) приобретали вместе с ней все повинности.</w:t>
      </w:r>
    </w:p>
    <w:p w:rsidR="002F657C" w:rsidRDefault="002F657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9. Вещное право по кодексу царя Хаммурапи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Кодекс закрепляет право частной собственности. Собственность на землю имели: царь, храмы, общины, частные лица. Царская храмовая собственность могла быть передана некоторым категориям лиц (воинам, жрецам, др.) или быть передана в аренду земледельцам, находящимся в той или иной зависимости от царско-храмового хозяйства. Общинная земля - в коллективном или частносемейном владении. Крестьянин-общинник обладал значительными правами: мог менять, продавать, и др.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Раб - вещь. Хозяин мог свободно  распоряжаться им - продавать, дарить, передавать по наследству. Кража рабов каралась смертной казнью.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Причинение вреда чужому имуществу влекло обязанность возмещения убытков. Собственник пропавшей вещи, обнаружив ее у другого, может истребовать ее через суд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(ст.9). Воровство также каралось смертной казнью (ст.10,11).</w:t>
      </w:r>
    </w:p>
    <w:p w:rsidR="002F657C" w:rsidRDefault="002F657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Хорошо разработана аренда земли, фруктового сада и др.  </w:t>
      </w:r>
    </w:p>
    <w:p w:rsidR="002F657C" w:rsidRDefault="002F657C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2F657C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1"/>
    <w:multiLevelType w:val="singleLevel"/>
    <w:tmpl w:val="8506A92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1">
    <w:nsid w:val="FFFFFF82"/>
    <w:multiLevelType w:val="singleLevel"/>
    <w:tmpl w:val="7E002BC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1A556791"/>
    <w:multiLevelType w:val="singleLevel"/>
    <w:tmpl w:val="3008195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3">
    <w:nsid w:val="275357E1"/>
    <w:multiLevelType w:val="singleLevel"/>
    <w:tmpl w:val="4B7A0F82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4">
    <w:nsid w:val="28E92B2F"/>
    <w:multiLevelType w:val="singleLevel"/>
    <w:tmpl w:val="3008195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5">
    <w:nsid w:val="2BE81B48"/>
    <w:multiLevelType w:val="singleLevel"/>
    <w:tmpl w:val="3008195E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6">
    <w:nsid w:val="310D7CEF"/>
    <w:multiLevelType w:val="singleLevel"/>
    <w:tmpl w:val="3008195E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7">
    <w:nsid w:val="4DC12335"/>
    <w:multiLevelType w:val="singleLevel"/>
    <w:tmpl w:val="4B7A0F82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8">
    <w:nsid w:val="4E043811"/>
    <w:multiLevelType w:val="singleLevel"/>
    <w:tmpl w:val="402ADE24"/>
    <w:lvl w:ilvl="0">
      <w:start w:val="80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/>
        <w:bCs/>
        <w:i w:val="0"/>
        <w:iCs w:val="0"/>
        <w:sz w:val="20"/>
        <w:szCs w:val="20"/>
        <w:u w:val="single"/>
      </w:rPr>
    </w:lvl>
  </w:abstractNum>
  <w:abstractNum w:abstractNumId="9">
    <w:nsid w:val="4E567F4A"/>
    <w:multiLevelType w:val="singleLevel"/>
    <w:tmpl w:val="2294FAAA"/>
    <w:lvl w:ilvl="0">
      <w:start w:val="1"/>
      <w:numFmt w:val="decimal"/>
      <w:lvlText w:val="%1)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0">
    <w:nsid w:val="59E2067A"/>
    <w:multiLevelType w:val="singleLevel"/>
    <w:tmpl w:val="4B7A0F82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1">
    <w:nsid w:val="5A5E1761"/>
    <w:multiLevelType w:val="singleLevel"/>
    <w:tmpl w:val="3008195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2">
    <w:nsid w:val="5C865048"/>
    <w:multiLevelType w:val="singleLevel"/>
    <w:tmpl w:val="3008195E"/>
    <w:lvl w:ilvl="0">
      <w:start w:val="7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3">
    <w:nsid w:val="6A161ECF"/>
    <w:multiLevelType w:val="singleLevel"/>
    <w:tmpl w:val="3008195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4">
    <w:nsid w:val="6AAD2D4A"/>
    <w:multiLevelType w:val="singleLevel"/>
    <w:tmpl w:val="695EB1D4"/>
    <w:lvl w:ilvl="0">
      <w:start w:val="5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5">
    <w:nsid w:val="6D8C6C23"/>
    <w:multiLevelType w:val="singleLevel"/>
    <w:tmpl w:val="3008195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6">
    <w:nsid w:val="71825285"/>
    <w:multiLevelType w:val="singleLevel"/>
    <w:tmpl w:val="FDD0BB30"/>
    <w:lvl w:ilvl="0">
      <w:start w:val="19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/>
        <w:bCs/>
        <w:i w:val="0"/>
        <w:iCs w:val="0"/>
        <w:sz w:val="20"/>
        <w:szCs w:val="20"/>
        <w:u w:val="single"/>
      </w:r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0"/>
  </w:num>
  <w:num w:numId="5">
    <w:abstractNumId w:val="9"/>
  </w:num>
  <w:num w:numId="6">
    <w:abstractNumId w:val="16"/>
  </w:num>
  <w:num w:numId="7">
    <w:abstractNumId w:val="13"/>
  </w:num>
  <w:num w:numId="8">
    <w:abstractNumId w:val="11"/>
  </w:num>
  <w:num w:numId="9">
    <w:abstractNumId w:val="11"/>
    <w:lvlOverride w:ilvl="0">
      <w:lvl w:ilvl="0">
        <w:start w:val="7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10">
    <w:abstractNumId w:val="2"/>
  </w:num>
  <w:num w:numId="11">
    <w:abstractNumId w:val="2"/>
    <w:lvlOverride w:ilvl="0">
      <w:lvl w:ilvl="0">
        <w:start w:val="2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12">
    <w:abstractNumId w:val="5"/>
  </w:num>
  <w:num w:numId="13">
    <w:abstractNumId w:val="5"/>
    <w:lvlOverride w:ilvl="0">
      <w:lvl w:ilvl="0">
        <w:start w:val="3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14">
    <w:abstractNumId w:val="5"/>
    <w:lvlOverride w:ilvl="0">
      <w:lvl w:ilvl="0">
        <w:start w:val="4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15">
    <w:abstractNumId w:val="14"/>
  </w:num>
  <w:num w:numId="16">
    <w:abstractNumId w:val="14"/>
    <w:lvlOverride w:ilvl="0">
      <w:lvl w:ilvl="0">
        <w:start w:val="1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17">
    <w:abstractNumId w:val="12"/>
  </w:num>
  <w:num w:numId="18">
    <w:abstractNumId w:val="12"/>
    <w:lvlOverride w:ilvl="0">
      <w:lvl w:ilvl="0">
        <w:start w:val="1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19">
    <w:abstractNumId w:val="4"/>
  </w:num>
  <w:num w:numId="20">
    <w:abstractNumId w:val="4"/>
    <w:lvlOverride w:ilvl="0">
      <w:lvl w:ilvl="0">
        <w:start w:val="2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21">
    <w:abstractNumId w:val="4"/>
    <w:lvlOverride w:ilvl="0">
      <w:lvl w:ilvl="0">
        <w:start w:val="3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22">
    <w:abstractNumId w:val="15"/>
  </w:num>
  <w:num w:numId="23">
    <w:abstractNumId w:val="15"/>
    <w:lvlOverride w:ilvl="0">
      <w:lvl w:ilvl="0">
        <w:start w:val="2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24">
    <w:abstractNumId w:val="15"/>
    <w:lvlOverride w:ilvl="0">
      <w:lvl w:ilvl="0">
        <w:start w:val="3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25">
    <w:abstractNumId w:val="15"/>
    <w:lvlOverride w:ilvl="0">
      <w:lvl w:ilvl="0">
        <w:start w:val="4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26">
    <w:abstractNumId w:val="8"/>
  </w:num>
  <w:num w:numId="27">
    <w:abstractNumId w:val="10"/>
  </w:num>
  <w:num w:numId="28">
    <w:abstractNumId w:val="3"/>
  </w:num>
  <w:num w:numId="29">
    <w:abstractNumId w:val="3"/>
    <w:lvlOverride w:ilvl="0">
      <w:lvl w:ilvl="0">
        <w:start w:val="3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30">
    <w:abstractNumId w:val="6"/>
  </w:num>
  <w:num w:numId="31">
    <w:abstractNumId w:val="6"/>
    <w:lvlOverride w:ilvl="0">
      <w:lvl w:ilvl="0">
        <w:start w:val="1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3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autoHyphenation/>
  <w:doNotHyphenateCaps/>
  <w:drawingGridHorizontalSpacing w:val="59"/>
  <w:drawingGridVerticalSpacing w:val="40"/>
  <w:displayVerticalDrawingGridEvery w:val="0"/>
  <w:characterSpacingControl w:val="doNotCompress"/>
  <w:doNotValidateAgainstSchema/>
  <w:doNotDemarcateInvalidXml/>
  <w:compat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F6D2E"/>
    <w:rsid w:val="001A1D5D"/>
    <w:rsid w:val="002F657C"/>
    <w:rsid w:val="008F052F"/>
    <w:rsid w:val="009F6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829F39C-6482-476F-A989-5D3F09776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/>
    <w:lsdException w:name="List 3" w:semiHidden="1"/>
    <w:lsdException w:name="List 4" w:semiHidden="1"/>
    <w:lsdException w:name="List 5" w:semiHidden="1" w:unhideWhenUsed="1"/>
    <w:lsdException w:name="List Bullet 2" w:semiHidden="1" w:unhideWhenUsed="1"/>
    <w:lsdException w:name="List Bullet 3" w:semiHidden="1"/>
    <w:lsdException w:name="List Bullet 4" w:semiHidden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ind w:left="708" w:hanging="708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before="240" w:after="60"/>
      <w:ind w:left="1416" w:hanging="708"/>
      <w:outlineLvl w:val="1"/>
    </w:pPr>
    <w:rPr>
      <w:rFonts w:ascii="Arial" w:hAnsi="Arial" w:cs="Arial"/>
      <w:b/>
      <w:bCs/>
      <w:i/>
      <w:i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spacing w:before="240" w:after="60"/>
      <w:ind w:left="2124" w:hanging="708"/>
      <w:outlineLvl w:val="2"/>
    </w:pPr>
    <w:rPr>
      <w:b/>
      <w:bCs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ind w:left="2832" w:hanging="708"/>
      <w:outlineLvl w:val="3"/>
    </w:pPr>
    <w:rPr>
      <w:b/>
      <w:bCs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pPr>
      <w:spacing w:before="240" w:after="60"/>
      <w:ind w:left="6372" w:hanging="708"/>
      <w:outlineLvl w:val="8"/>
    </w:pPr>
    <w:rPr>
      <w:rFonts w:ascii="Arial" w:hAnsi="Arial" w:cs="Arial"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character" w:styleId="a3">
    <w:name w:val="footnote reference"/>
    <w:uiPriority w:val="99"/>
    <w:rPr>
      <w:vertAlign w:val="superscript"/>
    </w:rPr>
  </w:style>
  <w:style w:type="paragraph" w:styleId="31">
    <w:name w:val="List 3"/>
    <w:basedOn w:val="a"/>
    <w:uiPriority w:val="99"/>
    <w:pPr>
      <w:ind w:left="1080" w:hanging="360"/>
    </w:pPr>
  </w:style>
  <w:style w:type="paragraph" w:styleId="a4">
    <w:name w:val="Body Text"/>
    <w:basedOn w:val="a"/>
    <w:link w:val="a5"/>
    <w:uiPriority w:val="99"/>
    <w:pPr>
      <w:spacing w:after="120"/>
    </w:pPr>
  </w:style>
  <w:style w:type="character" w:customStyle="1" w:styleId="a5">
    <w:name w:val="Основний текст Знак"/>
    <w:link w:val="a4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1">
    <w:name w:val="Body Text 2"/>
    <w:basedOn w:val="a"/>
    <w:link w:val="22"/>
    <w:uiPriority w:val="99"/>
    <w:pPr>
      <w:spacing w:after="120"/>
      <w:ind w:left="360"/>
    </w:pPr>
  </w:style>
  <w:style w:type="character" w:customStyle="1" w:styleId="22">
    <w:name w:val="Основний текст 2 Знак"/>
    <w:link w:val="21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6">
    <w:name w:val="List"/>
    <w:basedOn w:val="a"/>
    <w:uiPriority w:val="99"/>
    <w:pPr>
      <w:ind w:left="360" w:hanging="360"/>
    </w:pPr>
  </w:style>
  <w:style w:type="paragraph" w:styleId="23">
    <w:name w:val="List 2"/>
    <w:basedOn w:val="a"/>
    <w:uiPriority w:val="99"/>
    <w:pPr>
      <w:ind w:left="720" w:hanging="360"/>
    </w:pPr>
  </w:style>
  <w:style w:type="paragraph" w:styleId="32">
    <w:name w:val="List Continue 3"/>
    <w:basedOn w:val="a"/>
    <w:uiPriority w:val="99"/>
    <w:pPr>
      <w:spacing w:after="120"/>
      <w:ind w:left="1080"/>
    </w:pPr>
  </w:style>
  <w:style w:type="paragraph" w:styleId="33">
    <w:name w:val="List Bullet 3"/>
    <w:basedOn w:val="a"/>
    <w:autoRedefine/>
    <w:uiPriority w:val="99"/>
    <w:pPr>
      <w:ind w:left="1080" w:hanging="360"/>
    </w:pPr>
  </w:style>
  <w:style w:type="paragraph" w:styleId="24">
    <w:name w:val="List Continue 2"/>
    <w:basedOn w:val="a"/>
    <w:uiPriority w:val="99"/>
    <w:pPr>
      <w:spacing w:after="120"/>
      <w:ind w:left="720"/>
    </w:pPr>
  </w:style>
  <w:style w:type="paragraph" w:styleId="34">
    <w:name w:val="Body Text 3"/>
    <w:basedOn w:val="21"/>
    <w:link w:val="35"/>
    <w:uiPriority w:val="99"/>
  </w:style>
  <w:style w:type="character" w:customStyle="1" w:styleId="35">
    <w:name w:val="Основний текст 3 Знак"/>
    <w:link w:val="34"/>
    <w:uiPriority w:val="99"/>
    <w:semiHidden/>
    <w:rPr>
      <w:rFonts w:ascii="Times New Roman" w:hAnsi="Times New Roman" w:cs="Times New Roman"/>
      <w:sz w:val="16"/>
      <w:szCs w:val="16"/>
    </w:rPr>
  </w:style>
  <w:style w:type="paragraph" w:styleId="41">
    <w:name w:val="List 4"/>
    <w:basedOn w:val="a"/>
    <w:uiPriority w:val="99"/>
    <w:pPr>
      <w:ind w:left="1440" w:hanging="360"/>
    </w:pPr>
  </w:style>
  <w:style w:type="paragraph" w:styleId="42">
    <w:name w:val="List Bullet 4"/>
    <w:basedOn w:val="a"/>
    <w:autoRedefine/>
    <w:uiPriority w:val="99"/>
    <w:pPr>
      <w:ind w:left="1440" w:hanging="360"/>
    </w:pPr>
  </w:style>
  <w:style w:type="paragraph" w:styleId="a7">
    <w:name w:val="List Continue"/>
    <w:basedOn w:val="a"/>
    <w:uiPriority w:val="99"/>
    <w:pPr>
      <w:spacing w:after="120"/>
      <w:ind w:left="360"/>
    </w:pPr>
  </w:style>
  <w:style w:type="paragraph" w:styleId="43">
    <w:name w:val="List Continue 4"/>
    <w:basedOn w:val="a"/>
    <w:uiPriority w:val="99"/>
    <w:pPr>
      <w:spacing w:after="120"/>
      <w:ind w:left="1440"/>
    </w:pPr>
  </w:style>
  <w:style w:type="paragraph" w:styleId="a8">
    <w:name w:val="footnote text"/>
    <w:basedOn w:val="a"/>
    <w:link w:val="a9"/>
    <w:uiPriority w:val="99"/>
  </w:style>
  <w:style w:type="character" w:customStyle="1" w:styleId="a9">
    <w:name w:val="Текст виноски Знак"/>
    <w:link w:val="a8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a">
    <w:name w:val="footer"/>
    <w:basedOn w:val="a"/>
    <w:link w:val="ab"/>
    <w:uiPriority w:val="99"/>
    <w:pPr>
      <w:tabs>
        <w:tab w:val="center" w:pos="4320"/>
        <w:tab w:val="right" w:pos="8640"/>
      </w:tabs>
    </w:pPr>
  </w:style>
  <w:style w:type="character" w:customStyle="1" w:styleId="ab">
    <w:name w:val="Нижній колонтитул Знак"/>
    <w:link w:val="aa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c">
    <w:name w:val="page number"/>
    <w:uiPriority w:val="99"/>
  </w:style>
  <w:style w:type="paragraph" w:customStyle="1" w:styleId="11">
    <w:name w:val="АС1"/>
    <w:basedOn w:val="a"/>
    <w:uiPriority w:val="99"/>
    <w:pPr>
      <w:spacing w:before="120"/>
      <w:ind w:firstLine="567"/>
      <w:jc w:val="both"/>
    </w:pPr>
    <w:rPr>
      <w:rFonts w:ascii="Arial" w:hAnsi="Arial" w:cs="Arial"/>
      <w:sz w:val="24"/>
      <w:szCs w:val="24"/>
    </w:rPr>
  </w:style>
  <w:style w:type="paragraph" w:styleId="ad">
    <w:name w:val="header"/>
    <w:basedOn w:val="a"/>
    <w:link w:val="ae"/>
    <w:uiPriority w:val="99"/>
    <w:pPr>
      <w:tabs>
        <w:tab w:val="center" w:pos="4677"/>
        <w:tab w:val="right" w:pos="9355"/>
      </w:tabs>
    </w:pPr>
  </w:style>
  <w:style w:type="character" w:customStyle="1" w:styleId="ae">
    <w:name w:val="Верхній колонтитул Знак"/>
    <w:link w:val="ad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f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2684</Words>
  <Characters>15302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dafgasdfg</Company>
  <LinksUpToDate>false</LinksUpToDate>
  <CharactersWithSpaces>17951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srdtgasr</dc:creator>
  <cp:keywords/>
  <dc:description/>
  <cp:lastModifiedBy>Irina</cp:lastModifiedBy>
  <cp:revision>2</cp:revision>
  <cp:lastPrinted>1998-06-01T08:02:00Z</cp:lastPrinted>
  <dcterms:created xsi:type="dcterms:W3CDTF">2014-08-07T13:52:00Z</dcterms:created>
  <dcterms:modified xsi:type="dcterms:W3CDTF">2014-08-07T13:52:00Z</dcterms:modified>
</cp:coreProperties>
</file>