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4383" w:rsidRDefault="000B4383">
      <w:pPr>
        <w:jc w:val="center"/>
        <w:outlineLvl w:val="0"/>
        <w:rPr>
          <w:b/>
        </w:rPr>
      </w:pPr>
      <w:r>
        <w:rPr>
          <w:b/>
        </w:rPr>
        <w:t>Министерство РФ по связи и информатизации</w:t>
      </w:r>
    </w:p>
    <w:p w:rsidR="000B4383" w:rsidRDefault="000B4383">
      <w:pPr>
        <w:jc w:val="center"/>
        <w:outlineLvl w:val="0"/>
        <w:rPr>
          <w:b/>
        </w:rPr>
      </w:pPr>
      <w:r>
        <w:rPr>
          <w:b/>
        </w:rPr>
        <w:t xml:space="preserve">Уральский </w:t>
      </w:r>
      <w:r>
        <w:rPr>
          <w:b/>
          <w:lang w:val="en-US"/>
        </w:rPr>
        <w:t>Г</w:t>
      </w:r>
      <w:r>
        <w:rPr>
          <w:b/>
        </w:rPr>
        <w:t>осударственный Технический Университет - УПИ</w:t>
      </w:r>
    </w:p>
    <w:p w:rsidR="000B4383" w:rsidRDefault="000B4383">
      <w:pPr>
        <w:jc w:val="center"/>
        <w:outlineLvl w:val="0"/>
        <w:rPr>
          <w:b/>
        </w:rPr>
      </w:pPr>
      <w:r>
        <w:rPr>
          <w:b/>
        </w:rPr>
        <w:t>Кафедра "ТиСС"</w:t>
      </w:r>
    </w:p>
    <w:p w:rsidR="000B4383" w:rsidRDefault="000B4383">
      <w:pPr>
        <w:jc w:val="center"/>
        <w:rPr>
          <w:b/>
          <w:u w:val="single"/>
        </w:rPr>
      </w:pPr>
    </w:p>
    <w:p w:rsidR="000B4383" w:rsidRDefault="000B4383">
      <w:pPr>
        <w:jc w:val="center"/>
        <w:rPr>
          <w:b/>
          <w:u w:val="single"/>
        </w:rPr>
      </w:pPr>
    </w:p>
    <w:p w:rsidR="000B4383" w:rsidRDefault="000B4383">
      <w:pPr>
        <w:jc w:val="center"/>
        <w:rPr>
          <w:b/>
          <w:u w:val="single"/>
        </w:rPr>
      </w:pPr>
    </w:p>
    <w:p w:rsidR="000B4383" w:rsidRDefault="000B4383">
      <w:pPr>
        <w:jc w:val="center"/>
        <w:rPr>
          <w:b/>
          <w:u w:val="single"/>
        </w:rPr>
      </w:pPr>
    </w:p>
    <w:p w:rsidR="000B4383" w:rsidRDefault="000B4383">
      <w:pPr>
        <w:jc w:val="center"/>
        <w:rPr>
          <w:b/>
          <w:u w:val="single"/>
        </w:rPr>
      </w:pPr>
    </w:p>
    <w:p w:rsidR="000B4383" w:rsidRDefault="000B4383">
      <w:pPr>
        <w:jc w:val="center"/>
        <w:rPr>
          <w:b/>
          <w:u w:val="single"/>
        </w:rPr>
      </w:pPr>
    </w:p>
    <w:p w:rsidR="000B4383" w:rsidRDefault="000B4383">
      <w:pPr>
        <w:jc w:val="center"/>
        <w:rPr>
          <w:b/>
          <w:u w:val="single"/>
        </w:rPr>
      </w:pPr>
    </w:p>
    <w:p w:rsidR="000B4383" w:rsidRDefault="000B4383">
      <w:pPr>
        <w:jc w:val="center"/>
        <w:rPr>
          <w:b/>
          <w:u w:val="single"/>
        </w:rPr>
      </w:pPr>
    </w:p>
    <w:p w:rsidR="000B4383" w:rsidRDefault="000B4383">
      <w:pPr>
        <w:jc w:val="center"/>
        <w:rPr>
          <w:b/>
          <w:u w:val="single"/>
        </w:rPr>
      </w:pPr>
    </w:p>
    <w:p w:rsidR="000B4383" w:rsidRDefault="000B4383">
      <w:pPr>
        <w:jc w:val="center"/>
        <w:rPr>
          <w:b/>
          <w:u w:val="single"/>
        </w:rPr>
      </w:pPr>
    </w:p>
    <w:p w:rsidR="000B4383" w:rsidRDefault="000B4383">
      <w:pPr>
        <w:jc w:val="center"/>
        <w:rPr>
          <w:b/>
          <w:u w:val="single"/>
        </w:rPr>
      </w:pPr>
    </w:p>
    <w:p w:rsidR="000B4383" w:rsidRDefault="000B4383">
      <w:pPr>
        <w:jc w:val="center"/>
        <w:rPr>
          <w:b/>
          <w:u w:val="single"/>
        </w:rPr>
      </w:pPr>
    </w:p>
    <w:p w:rsidR="000B4383" w:rsidRDefault="000B4383">
      <w:pPr>
        <w:jc w:val="center"/>
        <w:outlineLvl w:val="0"/>
        <w:rPr>
          <w:b/>
          <w:sz w:val="32"/>
        </w:rPr>
      </w:pPr>
      <w:r>
        <w:rPr>
          <w:b/>
          <w:sz w:val="32"/>
        </w:rPr>
        <w:t>Отчет</w:t>
      </w:r>
    </w:p>
    <w:p w:rsidR="000B4383" w:rsidRDefault="000B4383">
      <w:pPr>
        <w:jc w:val="center"/>
        <w:outlineLvl w:val="0"/>
        <w:rPr>
          <w:b/>
          <w:sz w:val="32"/>
        </w:rPr>
      </w:pPr>
      <w:r>
        <w:rPr>
          <w:b/>
          <w:sz w:val="32"/>
        </w:rPr>
        <w:t xml:space="preserve">по производственной практике </w:t>
      </w:r>
    </w:p>
    <w:p w:rsidR="000B4383" w:rsidRDefault="000B4383">
      <w:pPr>
        <w:jc w:val="center"/>
        <w:outlineLvl w:val="0"/>
        <w:rPr>
          <w:b/>
          <w:sz w:val="32"/>
        </w:rPr>
      </w:pPr>
      <w:r>
        <w:rPr>
          <w:b/>
          <w:sz w:val="32"/>
        </w:rPr>
        <w:t xml:space="preserve">на ОАО «ЕГУЭС Уралтелеком» </w:t>
      </w:r>
    </w:p>
    <w:p w:rsidR="000B4383" w:rsidRDefault="000B4383">
      <w:pPr>
        <w:jc w:val="center"/>
        <w:outlineLvl w:val="0"/>
        <w:rPr>
          <w:b/>
          <w:u w:val="single"/>
        </w:rPr>
      </w:pPr>
    </w:p>
    <w:p w:rsidR="000B4383" w:rsidRDefault="000B4383">
      <w:pPr>
        <w:jc w:val="center"/>
        <w:rPr>
          <w:b/>
          <w:sz w:val="32"/>
        </w:rPr>
      </w:pPr>
    </w:p>
    <w:p w:rsidR="000B4383" w:rsidRDefault="000B4383">
      <w:pPr>
        <w:jc w:val="center"/>
        <w:outlineLvl w:val="0"/>
        <w:rPr>
          <w:b/>
          <w:u w:val="single"/>
        </w:rPr>
      </w:pPr>
    </w:p>
    <w:p w:rsidR="000B4383" w:rsidRDefault="000B4383">
      <w:pPr>
        <w:jc w:val="both"/>
        <w:rPr>
          <w:b/>
          <w:u w:val="single"/>
        </w:rPr>
      </w:pPr>
    </w:p>
    <w:p w:rsidR="000B4383" w:rsidRDefault="000B4383">
      <w:pPr>
        <w:jc w:val="both"/>
        <w:rPr>
          <w:b/>
          <w:u w:val="single"/>
        </w:rPr>
      </w:pPr>
    </w:p>
    <w:p w:rsidR="000B4383" w:rsidRDefault="000B4383">
      <w:pPr>
        <w:jc w:val="both"/>
        <w:rPr>
          <w:b/>
          <w:u w:val="single"/>
        </w:rPr>
      </w:pPr>
    </w:p>
    <w:p w:rsidR="000B4383" w:rsidRDefault="000B4383">
      <w:pPr>
        <w:jc w:val="both"/>
        <w:rPr>
          <w:b/>
          <w:u w:val="single"/>
        </w:rPr>
      </w:pPr>
    </w:p>
    <w:p w:rsidR="000B4383" w:rsidRDefault="000B4383">
      <w:pPr>
        <w:jc w:val="both"/>
        <w:rPr>
          <w:b/>
          <w:u w:val="single"/>
        </w:rPr>
      </w:pPr>
    </w:p>
    <w:p w:rsidR="000B4383" w:rsidRDefault="000B4383">
      <w:pPr>
        <w:jc w:val="both"/>
        <w:rPr>
          <w:b/>
          <w:u w:val="single"/>
        </w:rPr>
      </w:pPr>
    </w:p>
    <w:p w:rsidR="000B4383" w:rsidRDefault="000B4383">
      <w:pPr>
        <w:jc w:val="both"/>
        <w:rPr>
          <w:b/>
          <w:u w:val="single"/>
        </w:rPr>
      </w:pPr>
    </w:p>
    <w:p w:rsidR="000B4383" w:rsidRDefault="000B4383">
      <w:pPr>
        <w:jc w:val="both"/>
        <w:rPr>
          <w:b/>
          <w:u w:val="single"/>
        </w:rPr>
      </w:pPr>
    </w:p>
    <w:p w:rsidR="000B4383" w:rsidRDefault="000B4383">
      <w:pPr>
        <w:ind w:left="3600"/>
        <w:jc w:val="both"/>
        <w:outlineLvl w:val="0"/>
        <w:rPr>
          <w:b/>
        </w:rPr>
      </w:pPr>
      <w:r>
        <w:rPr>
          <w:b/>
          <w:lang w:val="en-US"/>
        </w:rPr>
        <w:t>Руководи</w:t>
      </w:r>
      <w:r>
        <w:rPr>
          <w:b/>
        </w:rPr>
        <w:t>тель практики от предприятия:</w:t>
      </w:r>
    </w:p>
    <w:p w:rsidR="000B4383" w:rsidRDefault="000B4383">
      <w:pPr>
        <w:ind w:left="3600"/>
        <w:jc w:val="both"/>
        <w:outlineLvl w:val="0"/>
        <w:rPr>
          <w:b/>
        </w:rPr>
      </w:pPr>
      <w:r>
        <w:rPr>
          <w:b/>
          <w:lang w:val="en-US"/>
        </w:rPr>
        <w:t>Руководи</w:t>
      </w:r>
      <w:r>
        <w:rPr>
          <w:b/>
        </w:rPr>
        <w:t>тель практики от УГТУ-УПИ:</w:t>
      </w:r>
    </w:p>
    <w:p w:rsidR="000B4383" w:rsidRDefault="000B4383">
      <w:pPr>
        <w:ind w:left="3600"/>
        <w:jc w:val="both"/>
        <w:outlineLvl w:val="0"/>
        <w:rPr>
          <w:b/>
        </w:rPr>
      </w:pPr>
      <w:r>
        <w:rPr>
          <w:b/>
        </w:rPr>
        <w:t>Время прохождения: с 5 августа по 15 сентября 2002 г.</w:t>
      </w:r>
    </w:p>
    <w:p w:rsidR="000B4383" w:rsidRDefault="000B4383">
      <w:pPr>
        <w:ind w:left="3600"/>
        <w:jc w:val="both"/>
        <w:rPr>
          <w:b/>
        </w:rPr>
      </w:pPr>
      <w:r>
        <w:rPr>
          <w:b/>
        </w:rPr>
        <w:t>Студент: Черепанов К.А</w:t>
      </w:r>
    </w:p>
    <w:p w:rsidR="000B4383" w:rsidRDefault="000B4383">
      <w:pPr>
        <w:pStyle w:val="4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3600"/>
        <w:jc w:val="both"/>
        <w:rPr>
          <w:u w:val="single"/>
        </w:rPr>
      </w:pPr>
      <w:r>
        <w:t>Группа: Р-407</w:t>
      </w:r>
    </w:p>
    <w:p w:rsidR="000B4383" w:rsidRDefault="000B4383">
      <w:pPr>
        <w:jc w:val="both"/>
        <w:rPr>
          <w:b/>
          <w:u w:val="single"/>
        </w:rPr>
      </w:pPr>
    </w:p>
    <w:p w:rsidR="000B4383" w:rsidRDefault="000B4383">
      <w:pPr>
        <w:jc w:val="both"/>
        <w:rPr>
          <w:b/>
          <w:u w:val="single"/>
        </w:rPr>
      </w:pPr>
    </w:p>
    <w:p w:rsidR="000B4383" w:rsidRDefault="000B4383">
      <w:pPr>
        <w:jc w:val="both"/>
        <w:rPr>
          <w:b/>
          <w:u w:val="single"/>
        </w:rPr>
      </w:pPr>
    </w:p>
    <w:p w:rsidR="000B4383" w:rsidRDefault="000B4383">
      <w:pPr>
        <w:jc w:val="both"/>
        <w:rPr>
          <w:b/>
          <w:u w:val="single"/>
        </w:rPr>
      </w:pPr>
    </w:p>
    <w:p w:rsidR="000B4383" w:rsidRDefault="000B4383">
      <w:pPr>
        <w:jc w:val="both"/>
        <w:rPr>
          <w:b/>
          <w:u w:val="single"/>
        </w:rPr>
      </w:pPr>
    </w:p>
    <w:p w:rsidR="000B4383" w:rsidRDefault="000B4383">
      <w:pPr>
        <w:jc w:val="both"/>
        <w:rPr>
          <w:b/>
          <w:u w:val="single"/>
        </w:rPr>
      </w:pPr>
    </w:p>
    <w:p w:rsidR="000B4383" w:rsidRDefault="000B4383">
      <w:pPr>
        <w:jc w:val="both"/>
        <w:rPr>
          <w:b/>
          <w:u w:val="single"/>
        </w:rPr>
      </w:pPr>
    </w:p>
    <w:p w:rsidR="000B4383" w:rsidRDefault="000B4383">
      <w:pPr>
        <w:jc w:val="center"/>
        <w:rPr>
          <w:b/>
          <w:u w:val="single"/>
        </w:rPr>
      </w:pPr>
    </w:p>
    <w:p w:rsidR="000B4383" w:rsidRDefault="000B4383">
      <w:pPr>
        <w:jc w:val="center"/>
        <w:rPr>
          <w:b/>
          <w:u w:val="single"/>
        </w:rPr>
      </w:pPr>
    </w:p>
    <w:p w:rsidR="000B4383" w:rsidRDefault="000B4383">
      <w:pPr>
        <w:jc w:val="center"/>
        <w:rPr>
          <w:b/>
          <w:u w:val="single"/>
        </w:rPr>
      </w:pPr>
    </w:p>
    <w:p w:rsidR="000B4383" w:rsidRDefault="000B4383">
      <w:pPr>
        <w:jc w:val="center"/>
        <w:rPr>
          <w:b/>
          <w:u w:val="single"/>
        </w:rPr>
      </w:pPr>
    </w:p>
    <w:p w:rsidR="000B4383" w:rsidRDefault="000B4383">
      <w:pPr>
        <w:jc w:val="center"/>
        <w:rPr>
          <w:b/>
          <w:u w:val="single"/>
        </w:rPr>
      </w:pPr>
    </w:p>
    <w:p w:rsidR="000B4383" w:rsidRDefault="000B4383">
      <w:pPr>
        <w:jc w:val="center"/>
        <w:rPr>
          <w:b/>
          <w:u w:val="single"/>
        </w:rPr>
      </w:pPr>
    </w:p>
    <w:p w:rsidR="000B4383" w:rsidRDefault="000B4383">
      <w:pPr>
        <w:jc w:val="center"/>
        <w:rPr>
          <w:b/>
          <w:u w:val="single"/>
        </w:rPr>
      </w:pPr>
    </w:p>
    <w:p w:rsidR="000B4383" w:rsidRDefault="000B4383">
      <w:pPr>
        <w:jc w:val="center"/>
        <w:outlineLvl w:val="0"/>
        <w:rPr>
          <w:b/>
        </w:rPr>
      </w:pPr>
      <w:r>
        <w:rPr>
          <w:b/>
        </w:rPr>
        <w:t>Екатеринбург</w:t>
      </w:r>
    </w:p>
    <w:p w:rsidR="000B4383" w:rsidRDefault="000B4383">
      <w:pPr>
        <w:jc w:val="center"/>
        <w:outlineLvl w:val="0"/>
        <w:rPr>
          <w:b/>
        </w:rPr>
      </w:pPr>
      <w:r>
        <w:rPr>
          <w:b/>
        </w:rPr>
        <w:t>2002</w:t>
      </w:r>
    </w:p>
    <w:p w:rsidR="000B4383" w:rsidRDefault="000B4383">
      <w:pPr>
        <w:jc w:val="center"/>
        <w:rPr>
          <w:b/>
          <w:sz w:val="28"/>
        </w:rPr>
      </w:pPr>
      <w:r>
        <w:br w:type="page"/>
      </w:r>
      <w:bookmarkStart w:id="0" w:name="_Toc19031546"/>
      <w:r>
        <w:rPr>
          <w:b/>
          <w:sz w:val="28"/>
        </w:rPr>
        <w:lastRenderedPageBreak/>
        <w:t>Содержание:</w:t>
      </w:r>
      <w:bookmarkEnd w:id="0"/>
    </w:p>
    <w:p w:rsidR="000B4383" w:rsidRDefault="000B4383">
      <w:pPr>
        <w:pStyle w:val="10"/>
        <w:tabs>
          <w:tab w:val="right" w:leader="dot" w:pos="10195"/>
        </w:tabs>
        <w:rPr>
          <w:noProof/>
        </w:rPr>
      </w:pPr>
      <w:r>
        <w:rPr>
          <w:noProof/>
        </w:rPr>
        <w:t>Список сокращений</w:t>
      </w:r>
      <w:r>
        <w:rPr>
          <w:noProof/>
        </w:rPr>
        <w:tab/>
        <w:t>3</w:t>
      </w:r>
    </w:p>
    <w:p w:rsidR="000B4383" w:rsidRDefault="000B4383">
      <w:pPr>
        <w:pStyle w:val="10"/>
        <w:tabs>
          <w:tab w:val="right" w:leader="dot" w:pos="10195"/>
        </w:tabs>
        <w:rPr>
          <w:noProof/>
        </w:rPr>
      </w:pPr>
      <w:r>
        <w:rPr>
          <w:noProof/>
        </w:rPr>
        <w:t>Предыстория SDH</w:t>
      </w:r>
      <w:r>
        <w:rPr>
          <w:noProof/>
        </w:rPr>
        <w:tab/>
        <w:t>5</w:t>
      </w:r>
    </w:p>
    <w:p w:rsidR="000B4383" w:rsidRDefault="000B4383">
      <w:pPr>
        <w:pStyle w:val="10"/>
        <w:tabs>
          <w:tab w:val="right" w:leader="dot" w:pos="10195"/>
        </w:tabs>
        <w:rPr>
          <w:noProof/>
        </w:rPr>
      </w:pPr>
      <w:r>
        <w:rPr>
          <w:noProof/>
        </w:rPr>
        <w:t>Сети SDH</w:t>
      </w:r>
      <w:r>
        <w:rPr>
          <w:noProof/>
        </w:rPr>
        <w:tab/>
        <w:t>6</w:t>
      </w:r>
    </w:p>
    <w:p w:rsidR="000B4383" w:rsidRDefault="000B4383">
      <w:pPr>
        <w:pStyle w:val="10"/>
        <w:tabs>
          <w:tab w:val="right" w:leader="dot" w:pos="10195"/>
        </w:tabs>
        <w:rPr>
          <w:noProof/>
        </w:rPr>
      </w:pPr>
      <w:r>
        <w:rPr>
          <w:noProof/>
        </w:rPr>
        <w:t>Цикл SDH</w:t>
      </w:r>
      <w:r>
        <w:rPr>
          <w:noProof/>
        </w:rPr>
        <w:tab/>
        <w:t>7</w:t>
      </w:r>
    </w:p>
    <w:p w:rsidR="000B4383" w:rsidRDefault="000B4383">
      <w:pPr>
        <w:pStyle w:val="10"/>
        <w:tabs>
          <w:tab w:val="right" w:leader="dot" w:pos="10195"/>
        </w:tabs>
        <w:rPr>
          <w:noProof/>
        </w:rPr>
      </w:pPr>
      <w:r>
        <w:rPr>
          <w:noProof/>
        </w:rPr>
        <w:t>Структура цикла</w:t>
      </w:r>
      <w:r>
        <w:rPr>
          <w:noProof/>
        </w:rPr>
        <w:tab/>
        <w:t>7</w:t>
      </w:r>
    </w:p>
    <w:p w:rsidR="000B4383" w:rsidRDefault="000B4383">
      <w:pPr>
        <w:pStyle w:val="10"/>
        <w:tabs>
          <w:tab w:val="right" w:leader="dot" w:pos="10195"/>
        </w:tabs>
        <w:rPr>
          <w:noProof/>
        </w:rPr>
      </w:pPr>
      <w:r>
        <w:rPr>
          <w:noProof/>
        </w:rPr>
        <w:t>Мультиплексирование</w:t>
      </w:r>
      <w:r>
        <w:rPr>
          <w:noProof/>
        </w:rPr>
        <w:tab/>
        <w:t>7</w:t>
      </w:r>
    </w:p>
    <w:p w:rsidR="000B4383" w:rsidRDefault="000B4383">
      <w:pPr>
        <w:pStyle w:val="10"/>
        <w:tabs>
          <w:tab w:val="right" w:leader="dot" w:pos="10195"/>
        </w:tabs>
        <w:rPr>
          <w:noProof/>
        </w:rPr>
      </w:pPr>
      <w:r>
        <w:rPr>
          <w:noProof/>
        </w:rPr>
        <w:t>Анализ заголовка</w:t>
      </w:r>
      <w:r>
        <w:rPr>
          <w:noProof/>
        </w:rPr>
        <w:tab/>
        <w:t>8</w:t>
      </w:r>
    </w:p>
    <w:p w:rsidR="000B4383" w:rsidRDefault="000B4383">
      <w:pPr>
        <w:pStyle w:val="20"/>
        <w:tabs>
          <w:tab w:val="right" w:leader="dot" w:pos="10195"/>
        </w:tabs>
        <w:rPr>
          <w:noProof/>
        </w:rPr>
      </w:pPr>
      <w:r>
        <w:rPr>
          <w:noProof/>
        </w:rPr>
        <w:t>Трактовый заголовок</w:t>
      </w:r>
      <w:r>
        <w:rPr>
          <w:noProof/>
        </w:rPr>
        <w:tab/>
        <w:t>8</w:t>
      </w:r>
    </w:p>
    <w:p w:rsidR="000B4383" w:rsidRDefault="000B4383">
      <w:pPr>
        <w:pStyle w:val="30"/>
        <w:tabs>
          <w:tab w:val="right" w:leader="dot" w:pos="10195"/>
        </w:tabs>
        <w:rPr>
          <w:noProof/>
        </w:rPr>
      </w:pPr>
      <w:r>
        <w:rPr>
          <w:noProof/>
        </w:rPr>
        <w:t>Байты трактового заголовка</w:t>
      </w:r>
      <w:r>
        <w:rPr>
          <w:noProof/>
        </w:rPr>
        <w:tab/>
        <w:t>9</w:t>
      </w:r>
    </w:p>
    <w:p w:rsidR="000B4383" w:rsidRDefault="000B4383">
      <w:pPr>
        <w:pStyle w:val="20"/>
        <w:tabs>
          <w:tab w:val="right" w:leader="dot" w:pos="10195"/>
        </w:tabs>
        <w:rPr>
          <w:noProof/>
        </w:rPr>
      </w:pPr>
      <w:r>
        <w:rPr>
          <w:noProof/>
        </w:rPr>
        <w:t>Мультиплексорный заголовок</w:t>
      </w:r>
      <w:r>
        <w:rPr>
          <w:noProof/>
        </w:rPr>
        <w:tab/>
        <w:t>9</w:t>
      </w:r>
    </w:p>
    <w:p w:rsidR="000B4383" w:rsidRDefault="000B4383">
      <w:pPr>
        <w:pStyle w:val="30"/>
        <w:tabs>
          <w:tab w:val="right" w:leader="dot" w:pos="10195"/>
        </w:tabs>
        <w:rPr>
          <w:noProof/>
        </w:rPr>
      </w:pPr>
      <w:r>
        <w:rPr>
          <w:noProof/>
        </w:rPr>
        <w:t>Байты заголовка мультиплексорной секции</w:t>
      </w:r>
      <w:r>
        <w:rPr>
          <w:noProof/>
        </w:rPr>
        <w:tab/>
        <w:t>9</w:t>
      </w:r>
    </w:p>
    <w:p w:rsidR="000B4383" w:rsidRDefault="000B4383">
      <w:pPr>
        <w:pStyle w:val="20"/>
        <w:tabs>
          <w:tab w:val="right" w:leader="dot" w:pos="10195"/>
        </w:tabs>
        <w:rPr>
          <w:noProof/>
        </w:rPr>
      </w:pPr>
      <w:r>
        <w:rPr>
          <w:noProof/>
        </w:rPr>
        <w:t>Заголовок регенерационной секции</w:t>
      </w:r>
      <w:r>
        <w:rPr>
          <w:noProof/>
        </w:rPr>
        <w:tab/>
        <w:t>10</w:t>
      </w:r>
    </w:p>
    <w:p w:rsidR="000B4383" w:rsidRDefault="000B4383">
      <w:pPr>
        <w:pStyle w:val="30"/>
        <w:tabs>
          <w:tab w:val="right" w:leader="dot" w:pos="10195"/>
        </w:tabs>
        <w:rPr>
          <w:noProof/>
        </w:rPr>
      </w:pPr>
      <w:r>
        <w:rPr>
          <w:noProof/>
        </w:rPr>
        <w:t>Байты заголовка регенерационной секции</w:t>
      </w:r>
      <w:r>
        <w:rPr>
          <w:noProof/>
        </w:rPr>
        <w:tab/>
        <w:t>10</w:t>
      </w:r>
    </w:p>
    <w:p w:rsidR="000B4383" w:rsidRDefault="000B4383">
      <w:pPr>
        <w:pStyle w:val="10"/>
        <w:tabs>
          <w:tab w:val="right" w:leader="dot" w:pos="10195"/>
        </w:tabs>
        <w:rPr>
          <w:noProof/>
        </w:rPr>
      </w:pPr>
      <w:r>
        <w:rPr>
          <w:noProof/>
        </w:rPr>
        <w:t>Анализ полезной нагрузки</w:t>
      </w:r>
      <w:r>
        <w:rPr>
          <w:noProof/>
        </w:rPr>
        <w:tab/>
        <w:t>10</w:t>
      </w:r>
    </w:p>
    <w:p w:rsidR="000B4383" w:rsidRDefault="000B4383">
      <w:pPr>
        <w:pStyle w:val="10"/>
        <w:tabs>
          <w:tab w:val="right" w:leader="dot" w:pos="10195"/>
        </w:tabs>
        <w:rPr>
          <w:noProof/>
        </w:rPr>
      </w:pPr>
      <w:r>
        <w:rPr>
          <w:noProof/>
        </w:rPr>
        <w:t>Указатели полезной нагрузки</w:t>
      </w:r>
      <w:r>
        <w:rPr>
          <w:noProof/>
        </w:rPr>
        <w:tab/>
        <w:t>10</w:t>
      </w:r>
    </w:p>
    <w:p w:rsidR="000B4383" w:rsidRDefault="000B4383">
      <w:pPr>
        <w:pStyle w:val="10"/>
        <w:tabs>
          <w:tab w:val="right" w:leader="dot" w:pos="10195"/>
        </w:tabs>
        <w:rPr>
          <w:noProof/>
        </w:rPr>
      </w:pPr>
      <w:r>
        <w:rPr>
          <w:noProof/>
        </w:rPr>
        <w:t>Компонентные блоки и структурная схема мультиплексирования сигнала SDH</w:t>
      </w:r>
      <w:r>
        <w:rPr>
          <w:noProof/>
        </w:rPr>
        <w:tab/>
        <w:t>11</w:t>
      </w:r>
    </w:p>
    <w:p w:rsidR="000B4383" w:rsidRDefault="000B4383">
      <w:pPr>
        <w:pStyle w:val="10"/>
        <w:tabs>
          <w:tab w:val="right" w:leader="dot" w:pos="10195"/>
        </w:tabs>
        <w:rPr>
          <w:noProof/>
        </w:rPr>
      </w:pPr>
      <w:r>
        <w:rPr>
          <w:noProof/>
        </w:rPr>
        <w:t>Управление сетью</w:t>
      </w:r>
      <w:r>
        <w:rPr>
          <w:noProof/>
        </w:rPr>
        <w:tab/>
        <w:t>12</w:t>
      </w:r>
    </w:p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>
      <w:pPr>
        <w:pStyle w:val="1"/>
        <w:jc w:val="center"/>
      </w:pPr>
      <w:bookmarkStart w:id="1" w:name="_Toc19009787"/>
      <w:bookmarkStart w:id="2" w:name="_Toc19031629"/>
      <w:r>
        <w:rPr>
          <w:lang w:val="en-US"/>
        </w:rPr>
        <w:lastRenderedPageBreak/>
        <w:t>Список сокращений</w:t>
      </w:r>
      <w:bookmarkEnd w:id="1"/>
      <w:bookmarkEnd w:id="2"/>
    </w:p>
    <w:p w:rsidR="000B4383" w:rsidRDefault="000B4383">
      <w:pPr>
        <w:jc w:val="center"/>
      </w:pPr>
      <w:r>
        <w:rPr>
          <w:b/>
        </w:rPr>
        <w:t>Русские сокращения.</w:t>
      </w:r>
    </w:p>
    <w:p w:rsidR="000B4383" w:rsidRDefault="000B4383">
      <w:r>
        <w:rPr>
          <w:b/>
        </w:rPr>
        <w:t>АТС</w:t>
      </w:r>
      <w:r>
        <w:t xml:space="preserve"> Автоматическая телефонная станция</w:t>
      </w:r>
      <w:r>
        <w:br/>
      </w:r>
      <w:r>
        <w:rPr>
          <w:b/>
        </w:rPr>
        <w:t xml:space="preserve">ВОСП </w:t>
      </w:r>
      <w:r>
        <w:t>Волоконно-оптическая система передачи</w:t>
      </w:r>
      <w:r>
        <w:br/>
      </w:r>
      <w:r>
        <w:rPr>
          <w:b/>
        </w:rPr>
        <w:t>ИКМ</w:t>
      </w:r>
      <w:r>
        <w:t xml:space="preserve"> Импульсно-кодовая модуляция</w:t>
      </w:r>
      <w:r>
        <w:br/>
      </w:r>
      <w:r>
        <w:rPr>
          <w:b/>
        </w:rPr>
        <w:t>ИКМ-30</w:t>
      </w:r>
      <w:r>
        <w:t xml:space="preserve"> Сокращение, используемое для обозначения потока Е1 с цикловой и сверхцикловой структурой</w:t>
      </w:r>
      <w:r>
        <w:br/>
      </w:r>
      <w:r>
        <w:rPr>
          <w:b/>
        </w:rPr>
        <w:t>ИКМ-31</w:t>
      </w:r>
      <w:r>
        <w:t xml:space="preserve"> Сокращение, используемое для обозначения потока Е1 с цикловой структурой</w:t>
      </w:r>
      <w:r>
        <w:br/>
      </w:r>
      <w:r>
        <w:rPr>
          <w:b/>
        </w:rPr>
        <w:t>ЛАЦ</w:t>
      </w:r>
      <w:r>
        <w:t xml:space="preserve"> Линейно-аппаратный цех (иногда применяется ЛАЗ - линейно-аппаратный зал)</w:t>
      </w:r>
      <w:r>
        <w:br/>
      </w:r>
      <w:r>
        <w:rPr>
          <w:b/>
        </w:rPr>
        <w:t>МВВ</w:t>
      </w:r>
      <w:r>
        <w:t xml:space="preserve"> Мультиплексор ввода/вывода</w:t>
      </w:r>
      <w:r>
        <w:br/>
      </w:r>
      <w:r>
        <w:rPr>
          <w:b/>
        </w:rPr>
        <w:t>МККТТ</w:t>
      </w:r>
      <w:r>
        <w:t xml:space="preserve"> Международный комитет по телефонии и телеграфии</w:t>
      </w:r>
      <w:r>
        <w:br/>
      </w:r>
      <w:r>
        <w:rPr>
          <w:b/>
        </w:rPr>
        <w:t>МСЭ</w:t>
      </w:r>
      <w:r>
        <w:t xml:space="preserve"> Международный союз электросвязи</w:t>
      </w:r>
      <w:r>
        <w:br/>
      </w:r>
      <w:r>
        <w:rPr>
          <w:b/>
        </w:rPr>
        <w:t>МСЭ-Т</w:t>
      </w:r>
      <w:r>
        <w:t xml:space="preserve"> Международный комитет по телефонии и телеграфии (новое название)</w:t>
      </w:r>
      <w:r>
        <w:br/>
      </w:r>
      <w:r>
        <w:rPr>
          <w:b/>
        </w:rPr>
        <w:t>ОКС 7</w:t>
      </w:r>
      <w:r>
        <w:t xml:space="preserve"> Система сигнализации по ОКС №7</w:t>
      </w:r>
      <w:r>
        <w:br/>
      </w:r>
      <w:r>
        <w:rPr>
          <w:b/>
        </w:rPr>
        <w:t>ОЦК</w:t>
      </w:r>
      <w:r>
        <w:t xml:space="preserve"> Общий цифровой канал (канал 64 кбит/с)</w:t>
      </w:r>
      <w:r>
        <w:br/>
      </w:r>
      <w:r>
        <w:rPr>
          <w:b/>
        </w:rPr>
        <w:t>ПД</w:t>
      </w:r>
      <w:r>
        <w:t xml:space="preserve"> Передача данных</w:t>
      </w:r>
      <w:r>
        <w:br/>
      </w:r>
      <w:r>
        <w:rPr>
          <w:b/>
        </w:rPr>
        <w:t>ПО</w:t>
      </w:r>
      <w:r>
        <w:t xml:space="preserve"> Программное обеспечение</w:t>
      </w:r>
      <w:r>
        <w:br/>
      </w:r>
      <w:r>
        <w:rPr>
          <w:b/>
        </w:rPr>
        <w:t>ПСП</w:t>
      </w:r>
      <w:r>
        <w:t xml:space="preserve"> Псевдослучайная двоичная последовательность</w:t>
      </w:r>
      <w:r>
        <w:br/>
      </w:r>
      <w:r>
        <w:rPr>
          <w:b/>
        </w:rPr>
        <w:t>рек.</w:t>
      </w:r>
      <w:r>
        <w:t xml:space="preserve"> Рекомендация</w:t>
      </w:r>
      <w:r>
        <w:br/>
      </w:r>
      <w:r>
        <w:rPr>
          <w:b/>
        </w:rPr>
        <w:t>РРЛ</w:t>
      </w:r>
      <w:r>
        <w:t xml:space="preserve"> Радиорелейная линия связи</w:t>
      </w:r>
      <w:r>
        <w:br/>
      </w:r>
      <w:r>
        <w:rPr>
          <w:b/>
        </w:rPr>
        <w:t>ССС</w:t>
      </w:r>
      <w:r>
        <w:t xml:space="preserve"> Спутниковая система связи</w:t>
      </w:r>
      <w:r>
        <w:br/>
      </w:r>
      <w:r>
        <w:rPr>
          <w:b/>
        </w:rPr>
        <w:t>ТЧ</w:t>
      </w:r>
      <w:r>
        <w:t xml:space="preserve"> Канал тональной частоты</w:t>
      </w:r>
      <w:r>
        <w:br/>
      </w:r>
      <w:r>
        <w:rPr>
          <w:b/>
        </w:rPr>
        <w:t>УПАТС</w:t>
      </w:r>
      <w:r>
        <w:t xml:space="preserve"> Учрежденческая производственная АТС</w:t>
      </w:r>
    </w:p>
    <w:p w:rsidR="000B4383" w:rsidRDefault="000B4383">
      <w:r>
        <w:rPr>
          <w:b/>
        </w:rPr>
        <w:t>Иностранные сокращения.</w:t>
      </w:r>
    </w:p>
    <w:p w:rsidR="000B4383" w:rsidRDefault="000B4383">
      <w:r>
        <w:rPr>
          <w:b/>
        </w:rPr>
        <w:t>ADM</w:t>
      </w:r>
      <w:r>
        <w:t>  &amp;nbspAda-Drop Multiplexor    Мультиплексор ввода/вывода - МВВ</w:t>
      </w:r>
      <w:r>
        <w:br/>
      </w:r>
      <w:r>
        <w:rPr>
          <w:b/>
        </w:rPr>
        <w:t>ANSI</w:t>
      </w:r>
      <w:r>
        <w:t>  &amp;nbspAmerican National Standard Institute    Американский национальный институт стандартов</w:t>
      </w:r>
      <w:r>
        <w:br/>
      </w:r>
      <w:r>
        <w:rPr>
          <w:b/>
        </w:rPr>
        <w:t>APS</w:t>
      </w:r>
      <w:r>
        <w:t>  &amp;nbspAutomatic Protection Switching   &amp;nbspАвтоматическое переключение</w:t>
      </w:r>
      <w:r>
        <w:br/>
      </w:r>
      <w:r>
        <w:rPr>
          <w:b/>
        </w:rPr>
        <w:t>ATM</w:t>
      </w:r>
      <w:r>
        <w:t>  &amp;nbspAsynchronous Transfer Mode  &amp;nbspРежим асинхронной передачи</w:t>
      </w:r>
      <w:r>
        <w:br/>
      </w:r>
      <w:r>
        <w:rPr>
          <w:b/>
        </w:rPr>
        <w:t>AD</w:t>
      </w:r>
      <w:r>
        <w:t>    Administrative Unit    Административный блок</w:t>
      </w:r>
      <w:r>
        <w:br/>
      </w:r>
      <w:r>
        <w:rPr>
          <w:b/>
        </w:rPr>
        <w:t>AUG</w:t>
      </w:r>
      <w:r>
        <w:t>  &amp;nbspAdministrative Unit Group   &amp;nbspГруппа административных блоков</w:t>
      </w:r>
      <w:r>
        <w:br/>
      </w:r>
      <w:r>
        <w:rPr>
          <w:b/>
        </w:rPr>
        <w:t>AU-PJE</w:t>
      </w:r>
      <w:r>
        <w:t>  &amp;nbspAU Pointer Justification Event    Смещение указателя AU</w:t>
      </w:r>
      <w:r>
        <w:br/>
      </w:r>
      <w:r>
        <w:rPr>
          <w:b/>
        </w:rPr>
        <w:t>BBE</w:t>
      </w:r>
      <w:r>
        <w:t>  &amp;nbspBackground block error     Блок с фоновой ошибкой</w:t>
      </w:r>
      <w:r>
        <w:br/>
      </w:r>
      <w:r>
        <w:rPr>
          <w:b/>
        </w:rPr>
        <w:t>BBER</w:t>
      </w:r>
      <w:r>
        <w:t>Background block error rate    Коэффициент ошибок по блокам с фоновыми ошибками</w:t>
      </w:r>
      <w:r>
        <w:br/>
      </w:r>
      <w:r>
        <w:rPr>
          <w:b/>
        </w:rPr>
        <w:t>BER</w:t>
      </w:r>
      <w:r>
        <w:t>  &amp;nbspBit Error Rate     Параметр ошибки по битам, равен отношению количества ошибочных битов к общему количеству переданных</w:t>
      </w:r>
      <w:r>
        <w:br/>
      </w:r>
      <w:r>
        <w:rPr>
          <w:b/>
        </w:rPr>
        <w:t>BIN</w:t>
      </w:r>
      <w:r>
        <w:t>  &amp;nbspBinary     Двоичное представление данных</w:t>
      </w:r>
      <w:r>
        <w:br/>
      </w:r>
      <w:r>
        <w:rPr>
          <w:b/>
        </w:rPr>
        <w:t>BIP</w:t>
      </w:r>
      <w:r>
        <w:t>    Bit Interleaved Parity     Метод контроля четности</w:t>
      </w:r>
      <w:r>
        <w:br/>
      </w:r>
      <w:r>
        <w:rPr>
          <w:b/>
        </w:rPr>
        <w:t>B-ISDN</w:t>
      </w:r>
      <w:r>
        <w:t>    Broadband Integrated Service Digital   &amp;nbspШирокополосная цифровая сеть с интеграцией Networks служб (Ш-ЦСИС)</w:t>
      </w:r>
      <w:r>
        <w:br/>
      </w:r>
      <w:r>
        <w:rPr>
          <w:b/>
        </w:rPr>
        <w:t>CRC</w:t>
      </w:r>
      <w:r>
        <w:t>    Cyclic Redundancy Check     Циклическая проверка по избыточности</w:t>
      </w:r>
      <w:r>
        <w:br/>
      </w:r>
      <w:r>
        <w:rPr>
          <w:b/>
        </w:rPr>
        <w:t>CRC ERR</w:t>
      </w:r>
      <w:r>
        <w:t>    CRC errors     Число ошибок CRC</w:t>
      </w:r>
      <w:r>
        <w:br/>
      </w:r>
      <w:r>
        <w:rPr>
          <w:b/>
        </w:rPr>
        <w:t>DEMUX</w:t>
      </w:r>
      <w:r>
        <w:t>    Demultiplexer     Демультиплексор</w:t>
      </w:r>
      <w:r>
        <w:br/>
      </w:r>
      <w:r>
        <w:rPr>
          <w:b/>
        </w:rPr>
        <w:t>ETS</w:t>
      </w:r>
      <w:r>
        <w:t xml:space="preserve">    European Telecommunication Standard     Европейский телекоммуникационный стандарт </w:t>
      </w:r>
      <w:r>
        <w:br/>
      </w:r>
      <w:r>
        <w:rPr>
          <w:b/>
        </w:rPr>
        <w:t>ETSI</w:t>
      </w:r>
      <w:r>
        <w:t>    European Telecommunication Standard Institute     Европейский институт стандартизации в теле-kоммуникациях, протокол ISDN, стандартизированный ETSI</w:t>
      </w:r>
      <w:r>
        <w:br/>
      </w:r>
      <w:r>
        <w:rPr>
          <w:b/>
        </w:rPr>
        <w:t>FEBE</w:t>
      </w:r>
      <w:r>
        <w:t>    Far End Block Error     Наличие блоковой ошибки на удаленном конце</w:t>
      </w:r>
      <w:r>
        <w:br/>
      </w:r>
      <w:r>
        <w:rPr>
          <w:b/>
        </w:rPr>
        <w:t>FERF</w:t>
      </w:r>
      <w:r>
        <w:t>    Far End Receive Failure    Наличие неисправности на удаленном конце</w:t>
      </w:r>
      <w:r>
        <w:br/>
      </w:r>
      <w:r>
        <w:rPr>
          <w:b/>
        </w:rPr>
        <w:t>HEX</w:t>
      </w:r>
      <w:r>
        <w:t xml:space="preserve">    Hexagonal     16-ричное представление информации </w:t>
      </w:r>
      <w:r>
        <w:br/>
      </w:r>
      <w:r>
        <w:rPr>
          <w:b/>
        </w:rPr>
        <w:t>НО-РОН</w:t>
      </w:r>
      <w:r>
        <w:t>    High-order POH    Заголовок маршрута высокого уровня</w:t>
      </w:r>
      <w:r>
        <w:br/>
      </w:r>
      <w:r>
        <w:rPr>
          <w:b/>
        </w:rPr>
        <w:t xml:space="preserve">ISDN </w:t>
      </w:r>
      <w:r>
        <w:t>    Integrated Service Digital Networks    Цифровая сеть с интеграцией служб (ЦСИС)</w:t>
      </w:r>
      <w:r>
        <w:br/>
      </w:r>
      <w:r>
        <w:rPr>
          <w:b/>
        </w:rPr>
        <w:t>ITU</w:t>
      </w:r>
      <w:r>
        <w:t>    International Telecommunication Union    Международный Союз Электросвязи</w:t>
      </w:r>
      <w:r>
        <w:br/>
      </w:r>
      <w:r>
        <w:rPr>
          <w:b/>
        </w:rPr>
        <w:t>ITU-T</w:t>
      </w:r>
      <w:r>
        <w:t xml:space="preserve">    International Telecommunication Union-Telephony group    Международный Союз </w:t>
      </w:r>
      <w:r>
        <w:lastRenderedPageBreak/>
        <w:t>Электросвязи подразделение телефонии</w:t>
      </w:r>
      <w:r>
        <w:br/>
      </w:r>
      <w:r>
        <w:rPr>
          <w:b/>
        </w:rPr>
        <w:t>LO-POH</w:t>
      </w:r>
      <w:r>
        <w:t>    Low-order POH     Заголовок маршрута низкого уровня</w:t>
      </w:r>
      <w:r>
        <w:br/>
      </w:r>
      <w:r>
        <w:rPr>
          <w:b/>
        </w:rPr>
        <w:t>M1, М2</w:t>
      </w:r>
      <w:r>
        <w:t>    Management Interface 1, 2     Интерфейсы управления</w:t>
      </w:r>
      <w:r>
        <w:br/>
      </w:r>
      <w:r>
        <w:rPr>
          <w:b/>
        </w:rPr>
        <w:t>MSOH</w:t>
      </w:r>
      <w:r>
        <w:t>    Multiplexer Section Overhead     Заголовок мультиплексорной секции</w:t>
      </w:r>
      <w:r>
        <w:br/>
      </w:r>
      <w:r>
        <w:rPr>
          <w:b/>
        </w:rPr>
        <w:t>MSP</w:t>
      </w:r>
      <w:r>
        <w:t>    Multiplex Section Protection    Цепь резервирования мультиплексорной секции</w:t>
      </w:r>
      <w:r>
        <w:br/>
      </w:r>
      <w:r>
        <w:rPr>
          <w:b/>
        </w:rPr>
        <w:t>MUX</w:t>
      </w:r>
      <w:r>
        <w:t>    Multiplexer    Мультиплексор</w:t>
      </w:r>
      <w:r>
        <w:br/>
      </w:r>
      <w:r>
        <w:rPr>
          <w:b/>
        </w:rPr>
        <w:t>OSI</w:t>
      </w:r>
      <w:r>
        <w:t>    Open System Interconnection    Эталонная модель взаимодействия открытых систем   </w:t>
      </w:r>
      <w:r>
        <w:br/>
      </w:r>
      <w:r>
        <w:rPr>
          <w:b/>
        </w:rPr>
        <w:t>РОН</w:t>
      </w:r>
      <w:r>
        <w:t>    Path Overhead    Заголовок маршрута</w:t>
      </w:r>
      <w:r>
        <w:br/>
      </w:r>
      <w:r>
        <w:rPr>
          <w:b/>
        </w:rPr>
        <w:t>PTR</w:t>
      </w:r>
      <w:r>
        <w:t>    Pointer     Указатель в системе SDH</w:t>
      </w:r>
      <w:r>
        <w:br/>
      </w:r>
      <w:r>
        <w:rPr>
          <w:b/>
        </w:rPr>
        <w:t>RGEN, REG</w:t>
      </w:r>
      <w:r>
        <w:t>    Regenerator    Регенератор</w:t>
      </w:r>
      <w:r>
        <w:br/>
      </w:r>
      <w:r>
        <w:rPr>
          <w:b/>
        </w:rPr>
        <w:t>RSOH</w:t>
      </w:r>
      <w:r>
        <w:t>    Regenerative Section Overhead     Заголовок регенераторной секции</w:t>
      </w:r>
      <w:r>
        <w:br/>
      </w:r>
      <w:r>
        <w:rPr>
          <w:b/>
        </w:rPr>
        <w:t>SDH</w:t>
      </w:r>
      <w:r>
        <w:t>    Synchronous Digital Hierarchy     Синхронная цифровая иерархия</w:t>
      </w:r>
      <w:r>
        <w:br/>
      </w:r>
      <w:r>
        <w:rPr>
          <w:b/>
        </w:rPr>
        <w:t>SDXC</w:t>
      </w:r>
      <w:r>
        <w:t>    Synchronous Digital Cross Connect    Синхронный цифровой коммутатор</w:t>
      </w:r>
      <w:r>
        <w:br/>
      </w:r>
      <w:r>
        <w:rPr>
          <w:b/>
        </w:rPr>
        <w:t>SOH</w:t>
      </w:r>
      <w:r>
        <w:t>    Section Overhead     Секционный заголовок</w:t>
      </w:r>
      <w:r>
        <w:br/>
      </w:r>
      <w:r>
        <w:rPr>
          <w:b/>
        </w:rPr>
        <w:t>STM</w:t>
      </w:r>
      <w:r>
        <w:t>    Synchronous Transport Module    Синхронный транспортный модуль - стандартный цифровой канал в системе SDH</w:t>
      </w:r>
      <w:r>
        <w:br/>
      </w:r>
      <w:r>
        <w:rPr>
          <w:b/>
        </w:rPr>
        <w:t>ТСМ</w:t>
      </w:r>
      <w:r>
        <w:t xml:space="preserve">    Tandem Connection Monitoring     Мониторинг взаимного соединения </w:t>
      </w:r>
      <w:r>
        <w:br/>
      </w:r>
      <w:r>
        <w:rPr>
          <w:b/>
        </w:rPr>
        <w:t>ТМ</w:t>
      </w:r>
      <w:r>
        <w:t>    Traffic Management     Управление графиком</w:t>
      </w:r>
      <w:r>
        <w:br/>
      </w:r>
      <w:r>
        <w:rPr>
          <w:b/>
        </w:rPr>
        <w:t>TMN</w:t>
      </w:r>
      <w:r>
        <w:t>    Telecommunications Management    Автоматизированная система управления связью</w:t>
      </w:r>
      <w:r>
        <w:br/>
      </w:r>
      <w:r>
        <w:rPr>
          <w:b/>
        </w:rPr>
        <w:t>TU</w:t>
      </w:r>
      <w:r>
        <w:t>    Tributary Unit    Блок нагрузки</w:t>
      </w:r>
      <w:r>
        <w:br/>
      </w:r>
      <w:r>
        <w:rPr>
          <w:b/>
        </w:rPr>
        <w:t>TUG</w:t>
      </w:r>
      <w:r>
        <w:t>    Tributary Unit Group    Группа блоков нагрузки</w:t>
      </w:r>
      <w:r>
        <w:br/>
      </w:r>
      <w:r>
        <w:rPr>
          <w:b/>
        </w:rPr>
        <w:t>VC</w:t>
      </w:r>
      <w:r>
        <w:t>    Virtual Container     Виртуальный контейнер</w:t>
      </w:r>
      <w:r>
        <w:br/>
      </w:r>
    </w:p>
    <w:p w:rsidR="000B4383" w:rsidRDefault="000B4383">
      <w:pPr>
        <w:pStyle w:val="1"/>
        <w:jc w:val="center"/>
      </w:pPr>
    </w:p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>
      <w:pPr>
        <w:pStyle w:val="1"/>
        <w:jc w:val="center"/>
        <w:rPr>
          <w:lang w:val="en-US"/>
        </w:rPr>
      </w:pPr>
      <w:bookmarkStart w:id="3" w:name="_Toc19031630"/>
      <w:r>
        <w:lastRenderedPageBreak/>
        <w:t xml:space="preserve">Предыстория </w:t>
      </w:r>
      <w:r>
        <w:rPr>
          <w:lang w:val="en-US"/>
        </w:rPr>
        <w:t>SDH</w:t>
      </w:r>
      <w:bookmarkEnd w:id="3"/>
    </w:p>
    <w:p w:rsidR="000B4383" w:rsidRDefault="000B4383">
      <w:pPr>
        <w:ind w:firstLine="720"/>
        <w:rPr>
          <w:lang w:val="en-US"/>
        </w:rPr>
      </w:pPr>
      <w:r>
        <w:rPr>
          <w:lang w:val="en-US"/>
        </w:rPr>
        <w:t xml:space="preserve">SDH (SONET- </w:t>
      </w:r>
      <w:r>
        <w:t>североамериканский аналог</w:t>
      </w:r>
      <w:r>
        <w:rPr>
          <w:lang w:val="en-US"/>
        </w:rPr>
        <w:t>)– это стнадарт для ‘высокоскоростных-высокопроизводительных’ оптических сетей связи; более известный, как синхронная цифровая иерархия (</w:t>
      </w:r>
      <w:r>
        <w:rPr>
          <w:b/>
          <w:u w:val="single"/>
          <w:lang w:val="en-US"/>
        </w:rPr>
        <w:t>S</w:t>
      </w:r>
      <w:r>
        <w:rPr>
          <w:lang w:val="en-US"/>
        </w:rPr>
        <w:t xml:space="preserve">ynchronous </w:t>
      </w:r>
      <w:r>
        <w:rPr>
          <w:b/>
          <w:u w:val="single"/>
          <w:lang w:val="en-US"/>
        </w:rPr>
        <w:t>D</w:t>
      </w:r>
      <w:r>
        <w:rPr>
          <w:lang w:val="en-US"/>
        </w:rPr>
        <w:t xml:space="preserve">igital </w:t>
      </w:r>
      <w:r>
        <w:rPr>
          <w:b/>
          <w:u w:val="single"/>
          <w:lang w:val="en-US"/>
        </w:rPr>
        <w:t>H</w:t>
      </w:r>
      <w:r>
        <w:rPr>
          <w:lang w:val="en-US"/>
        </w:rPr>
        <w:t xml:space="preserve">ierarchy, </w:t>
      </w:r>
      <w:r>
        <w:rPr>
          <w:b/>
        </w:rPr>
        <w:t>S</w:t>
      </w:r>
      <w:r>
        <w:t xml:space="preserve">ynchronous </w:t>
      </w:r>
      <w:r>
        <w:rPr>
          <w:b/>
        </w:rPr>
        <w:t>O</w:t>
      </w:r>
      <w:r>
        <w:t xml:space="preserve">ptical </w:t>
      </w:r>
      <w:r>
        <w:rPr>
          <w:b/>
        </w:rPr>
        <w:t>NET</w:t>
      </w:r>
      <w:r>
        <w:t>work</w:t>
      </w:r>
      <w:r>
        <w:rPr>
          <w:lang w:val="en-US"/>
        </w:rPr>
        <w:t>), предназначенный для обеспечения простой, экономичной и гибкой инфраструктуры сети связи.</w:t>
      </w:r>
    </w:p>
    <w:p w:rsidR="000B4383" w:rsidRDefault="000B4383">
      <w:pPr>
        <w:ind w:firstLine="720"/>
        <w:rPr>
          <w:lang w:val="en-US"/>
        </w:rPr>
      </w:pPr>
      <w:r>
        <w:rPr>
          <w:lang w:val="en-US"/>
        </w:rPr>
        <w:t>До SDH имела место плезиохронная цифровая иерархия или PDH (</w:t>
      </w:r>
      <w:r>
        <w:rPr>
          <w:b/>
          <w:u w:val="single"/>
          <w:lang w:val="en-US"/>
        </w:rPr>
        <w:t>P</w:t>
      </w:r>
      <w:r>
        <w:rPr>
          <w:lang w:val="en-US"/>
        </w:rPr>
        <w:t xml:space="preserve">lesiochronous </w:t>
      </w:r>
      <w:r>
        <w:rPr>
          <w:b/>
          <w:u w:val="single"/>
          <w:lang w:val="en-US"/>
        </w:rPr>
        <w:t>D</w:t>
      </w:r>
      <w:r>
        <w:rPr>
          <w:lang w:val="en-US"/>
        </w:rPr>
        <w:t xml:space="preserve">igital </w:t>
      </w:r>
      <w:r>
        <w:rPr>
          <w:b/>
          <w:u w:val="single"/>
          <w:lang w:val="en-US"/>
        </w:rPr>
        <w:t>H</w:t>
      </w:r>
      <w:r>
        <w:rPr>
          <w:lang w:val="en-US"/>
        </w:rPr>
        <w:t>ierarchy), в стуктуре сигнала которой не было места для сигналов управления и обслуживания сети.</w:t>
      </w:r>
    </w:p>
    <w:p w:rsidR="000B4383" w:rsidRDefault="005B2F57">
      <w:pPr>
        <w:ind w:firstLine="720"/>
        <w:jc w:val="right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25pt;height:126pt" fillcolor="window">
            <v:imagedata r:id="rId7" o:title="pdh"/>
          </v:shape>
        </w:pict>
      </w:r>
      <w:r>
        <w:pict>
          <v:shape id="_x0000_i1026" type="#_x0000_t75" style="width:225.75pt;height:139.5pt" fillcolor="window">
            <v:imagedata r:id="rId8" o:title="sdh"/>
          </v:shape>
        </w:pict>
      </w:r>
    </w:p>
    <w:p w:rsidR="000B4383" w:rsidRDefault="000B4383">
      <w:pPr>
        <w:pStyle w:val="a8"/>
      </w:pPr>
      <w:r>
        <w:t xml:space="preserve">Рис1.1 </w:t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t>Рис1.2</w:t>
      </w:r>
    </w:p>
    <w:p w:rsidR="000B4383" w:rsidRDefault="000B4383">
      <w:pPr>
        <w:ind w:firstLine="720"/>
        <w:rPr>
          <w:lang w:val="en-US"/>
        </w:rPr>
      </w:pPr>
      <w:r>
        <w:t xml:space="preserve">Сети передачи </w:t>
      </w:r>
      <w:r>
        <w:rPr>
          <w:lang w:val="en-US"/>
        </w:rPr>
        <w:t>PDH с высокой пропусконой способностью основаны иерархии цифровых мультиплексированных сигналов от Е.1 до Е.4.</w:t>
      </w:r>
    </w:p>
    <w:p w:rsidR="000B4383" w:rsidRDefault="000B4383">
      <w:pPr>
        <w:ind w:firstLine="720"/>
        <w:rPr>
          <w:lang w:val="en-US"/>
        </w:rPr>
      </w:pPr>
      <w:r>
        <w:rPr>
          <w:lang w:val="en-US"/>
        </w:rPr>
        <w:t>Базовый блок – первичная скорость 2048 Мб/с (Е.1) может состоять из 30 каналов ТЧ по 64 кб/с. Эти блоки можно объединить и передавать с более высокой скоростью по высокоскоростным системам передачи. Четыре сигнала первичной скорости могут быть мультиплексированы до вторичной скорости Е.2 8448 Мб/с и так далее до скорости 139 Мб/с (Е.4). Таким образом, скорость 139 Мб/с представляет 64*2048Мб/с сигналов или 1920 мультиплексированных каналов ТЧ.</w:t>
      </w:r>
    </w:p>
    <w:p w:rsidR="000B4383" w:rsidRDefault="000B4383">
      <w:pPr>
        <w:ind w:firstLine="720"/>
      </w:pPr>
      <w:r>
        <w:rPr>
          <w:lang w:val="en-US"/>
        </w:rPr>
        <w:t>Однако, до SDH</w:t>
      </w:r>
      <w:r>
        <w:t xml:space="preserve"> не имелось никаких стандартов, которые гарантировали бы работу обрудования производителей в одной системе, более того, в плезиохронной сети обращение к одному индивидуальному компоненту требует демультиплексирования всего сигнала, следовательно, затраты повышаются из-за демультиплексирования и они удваиваются, потому что встает необходимость повторно мультиплексировать сигнал.</w:t>
      </w:r>
    </w:p>
    <w:p w:rsidR="000B4383" w:rsidRDefault="000B4383">
      <w:pPr>
        <w:pStyle w:val="DefinitionTerm"/>
        <w:spacing w:before="100" w:after="100"/>
        <w:ind w:firstLine="720"/>
        <w:jc w:val="both"/>
      </w:pPr>
      <w:r>
        <w:t>Острая необходимость в стандартизации синхронных волоконно-оптических сетей была осознана, лишь когда стали ясны преимущества этих сетей перед плезиохронными и полным ходом шли разработка и внедрение оборудования для них. Телекоммуникационные операторы ощутили это первыми. Попытки состыковать оборудование разных производителей к положительному результату не привели. В начале 1984 г. в США состоялся Форум по совместимости систем передачи, который обратился в Американский национальный институт стандартов (ANSI) с просьбой о скорейшем принятии спецификаций синхронной передачи по волоконно-оптическим сетям. Цель данной стандартизации - сопряжение оборудования различных производителей на уровне оптических интерфейсов.</w:t>
      </w:r>
    </w:p>
    <w:p w:rsidR="000B4383" w:rsidRDefault="000B4383">
      <w:pPr>
        <w:pStyle w:val="DefinitionTerm"/>
        <w:spacing w:before="100" w:after="100"/>
        <w:ind w:firstLine="720"/>
        <w:jc w:val="both"/>
      </w:pPr>
      <w:r>
        <w:t>Задача была поставлена перед двумя комитетами ANSI: T1X1, занимающимся цифровой иерархией и синхронизацией, и T1M1, решающим вопросы сетевого администрирования и эксплуатации. В результате проделанной этими комитетами работы родился черновой вариант стандарта под названием SYNTRAN, основывающийся на скорости передачи 45 Mбит/с. Однако время шло, и производители создали новые системы. Компания АТ&amp;T, применив самые новейшие технологии, произвела на свет систему METROBUS, скорость передачи которой составляла уже 150 Мбит/с. В 1985 г. комитет T1X1 по предложению компании Bellcore принял решение сформулировать стандарт, базирующийся на концепции синхронной сети как единого целого (SONET, Synchronous Optical NETwork), который будет определять наряду с оптическим интерфейсом формат сигнала и скорость его передачи.</w:t>
      </w:r>
    </w:p>
    <w:p w:rsidR="000B4383" w:rsidRDefault="000B4383">
      <w:pPr>
        <w:pStyle w:val="DefinitionTerm"/>
        <w:spacing w:before="100" w:after="100"/>
        <w:ind w:firstLine="720"/>
        <w:jc w:val="both"/>
      </w:pPr>
      <w:r>
        <w:lastRenderedPageBreak/>
        <w:t>На этом этапе стандартизации европейские институты не проявляли большого интереса к SONET. Исторически сложилось так, что иерархии скоростей передачи в США и Европе основывались на различных базовых скоростях сигналов - Т1 (1,544 Мбит/с) и Е1 (2,048 Мбит/с) соответственно. Чтобы избежать углубления этой пропасти, требовалось участие Европы в развитии стандартов синхронной передачи. Однако заинтересовать Европу можно было лишь возможностью поддержки стандартом SONET 2-мегабитной иерархии.</w:t>
      </w:r>
    </w:p>
    <w:p w:rsidR="000B4383" w:rsidRDefault="000B4383">
      <w:pPr>
        <w:pStyle w:val="DefinitionTerm"/>
        <w:spacing w:before="100" w:after="100"/>
        <w:ind w:firstLine="720"/>
        <w:jc w:val="both"/>
      </w:pPr>
      <w:r>
        <w:t>Летом 1986 г. МККТТ(в настоящее время комитет T в МСЭ, или ITU-T) наконец решил навести порядок, создав единый стандарт, который удовлетворил бы обе стороны, т. е. поддерживал бы как европейскую, так и американскую иерархии. В июле 1986 г. рабочая группа XVII МККТТ начала работу над новым стандартом синхронной цифровой иерархии (SDH). Полтора года ушло на согласование рекомендаций. В феврале 1988 г. комитет T1X1 принял предложения МККТТ по изменению стандарта SONET. Рабочая группа XVIII утвердила три рекомендации, относящиеся к SDH, которые были опубликованы в "Синей книге":</w:t>
      </w:r>
    </w:p>
    <w:p w:rsidR="000B4383" w:rsidRDefault="000B4383">
      <w:pPr>
        <w:pStyle w:val="DefinitionTerm"/>
        <w:spacing w:before="100" w:after="100"/>
        <w:jc w:val="both"/>
      </w:pPr>
      <w:r>
        <w:t xml:space="preserve">G.707. - базовые скорости SDH; </w:t>
      </w:r>
    </w:p>
    <w:p w:rsidR="000B4383" w:rsidRDefault="000B4383">
      <w:pPr>
        <w:pStyle w:val="DefinitionTerm"/>
        <w:spacing w:before="100" w:after="100"/>
        <w:jc w:val="both"/>
      </w:pPr>
      <w:r>
        <w:t xml:space="preserve">G.708. - сетевой интерфейс узла SDH; </w:t>
      </w:r>
    </w:p>
    <w:p w:rsidR="000B4383" w:rsidRDefault="000B4383">
      <w:pPr>
        <w:pStyle w:val="DefinitionTerm"/>
        <w:spacing w:before="100" w:after="100"/>
        <w:jc w:val="both"/>
      </w:pPr>
      <w:r>
        <w:t xml:space="preserve">G.709. - структура синхронного мультиплексирования. </w:t>
      </w:r>
    </w:p>
    <w:p w:rsidR="000B4383" w:rsidRDefault="000B4383">
      <w:pPr>
        <w:pStyle w:val="DefinitionTerm"/>
        <w:spacing w:before="100" w:after="100"/>
        <w:ind w:firstLine="720"/>
        <w:jc w:val="both"/>
      </w:pPr>
      <w:r>
        <w:t>Именно эти рекомендации положили начало процессу стандартизации систем SDH на более детальном уровне, который продолжается и по сей день.</w:t>
      </w:r>
    </w:p>
    <w:p w:rsidR="000B4383" w:rsidRDefault="000B4383">
      <w:pPr>
        <w:rPr>
          <w:lang w:val="en-US"/>
        </w:rPr>
      </w:pPr>
      <w:r>
        <w:tab/>
        <w:t xml:space="preserve">Таким образом, переход от </w:t>
      </w:r>
      <w:r>
        <w:rPr>
          <w:lang w:val="en-US"/>
        </w:rPr>
        <w:t>PDH к SDH решал ряд немаловажных проблем, а именно:</w:t>
      </w:r>
    </w:p>
    <w:p w:rsidR="000B4383" w:rsidRDefault="000B4383">
      <w:pPr>
        <w:numPr>
          <w:ilvl w:val="0"/>
          <w:numId w:val="37"/>
        </w:numPr>
      </w:pPr>
      <w:r>
        <w:rPr>
          <w:i/>
        </w:rPr>
        <w:t>Упрощение схемы построения и развития сети.</w:t>
      </w:r>
      <w:r>
        <w:t xml:space="preserve"> Упрощение структурной схемы сети и сокращение числа требуемого оборудования стали возможными благодаря тому, что SDH-мультиплексор заменил собой по функциональным возможностям стойку мультиплексоров PDH. Плезиохронный мультиплексор демультиплексировал поток для выведения нескольких компонентных сигналов, а затем мультиплексировал весь набор компонентных сигналов снова. SDH-мультиплексор выделяет требуемые компонентные сигналы, не разбирая весь поток. Оборудования нужно меньше, требования к питанию снижаются, площади освобождаются, затраты на эксплуатацию уменьшаются. </w:t>
      </w:r>
    </w:p>
    <w:p w:rsidR="000B4383" w:rsidRDefault="000B4383">
      <w:pPr>
        <w:numPr>
          <w:ilvl w:val="0"/>
          <w:numId w:val="37"/>
        </w:numPr>
      </w:pPr>
      <w:r>
        <w:rPr>
          <w:i/>
        </w:rPr>
        <w:t xml:space="preserve">Высокая надежность сети. </w:t>
      </w:r>
      <w:r>
        <w:t xml:space="preserve">Централизованное управление сетью обеспечивает полный мониторинг состояния каналов и узлов (мультиплексоров). Использование кольцевых топологий предоставляет возможность автоматической перемаршрутизации каналов при любых аварийных ситуациях на резервный путь. </w:t>
      </w:r>
    </w:p>
    <w:p w:rsidR="000B4383" w:rsidRDefault="000B4383">
      <w:pPr>
        <w:numPr>
          <w:ilvl w:val="0"/>
          <w:numId w:val="37"/>
        </w:numPr>
      </w:pPr>
      <w:r>
        <w:rPr>
          <w:i/>
        </w:rPr>
        <w:t xml:space="preserve">Полный программный контроль. </w:t>
      </w:r>
      <w:r>
        <w:t xml:space="preserve">Управление конфигурацией сети, отслеживание и регистрация аварийных ситуаций осуществляются программными средствами с единой консоли управления. В функции центральной управляющей системы входят также средства поддержки тестирования каналов и контроля за качеством работы основных блоков мультиплексоров. </w:t>
      </w:r>
    </w:p>
    <w:p w:rsidR="000B4383" w:rsidRDefault="000B4383">
      <w:pPr>
        <w:numPr>
          <w:ilvl w:val="0"/>
          <w:numId w:val="37"/>
        </w:numPr>
      </w:pPr>
      <w:r>
        <w:rPr>
          <w:i/>
        </w:rPr>
        <w:t>Предоставление услуг по требованию.</w:t>
      </w:r>
      <w:r>
        <w:t xml:space="preserve"> Создание новых или перемаршрутизация старых каналов пользователя - вопрос одного часа. </w:t>
      </w:r>
    </w:p>
    <w:p w:rsidR="000B4383" w:rsidRDefault="000B4383">
      <w:pPr>
        <w:numPr>
          <w:ilvl w:val="0"/>
          <w:numId w:val="37"/>
        </w:numPr>
      </w:pPr>
      <w:r>
        <w:rPr>
          <w:i/>
        </w:rPr>
        <w:t xml:space="preserve">"Высокий уровень" стандартизации </w:t>
      </w:r>
      <w:r>
        <w:t xml:space="preserve">SDH-технологии позволяет использовать оборудование разных фирм-производителей в одной сети. </w:t>
      </w:r>
    </w:p>
    <w:p w:rsidR="000B4383" w:rsidRDefault="000B4383">
      <w:pPr>
        <w:ind w:firstLine="360"/>
      </w:pPr>
      <w:r>
        <w:t>Благодаря перечисленным преимуществам SDH стала технологией N 1 для создания транспортной сети.</w:t>
      </w:r>
    </w:p>
    <w:p w:rsidR="000B4383" w:rsidRDefault="000B4383">
      <w:pPr>
        <w:pStyle w:val="1"/>
        <w:jc w:val="center"/>
      </w:pPr>
      <w:bookmarkStart w:id="4" w:name="_Toc19031631"/>
      <w:r>
        <w:rPr>
          <w:lang w:val="en-US"/>
        </w:rPr>
        <w:t>Сети SDH</w:t>
      </w:r>
      <w:bookmarkEnd w:id="4"/>
    </w:p>
    <w:p w:rsidR="000B4383" w:rsidRDefault="000B4383">
      <w:pPr>
        <w:ind w:firstLine="720"/>
        <w:rPr>
          <w:lang w:val="en-US"/>
        </w:rPr>
      </w:pPr>
      <w:r>
        <w:rPr>
          <w:lang w:val="en-US"/>
        </w:rPr>
        <w:t>SDH</w:t>
      </w:r>
      <w:r>
        <w:t xml:space="preserve"> модет использоваться во всех традиционных областях примения сетей. Только инфраструктура сети </w:t>
      </w:r>
      <w:r>
        <w:rPr>
          <w:lang w:val="en-US"/>
        </w:rPr>
        <w:t>SDH обесчпечивает эффективное прямое взаимодействие между треммя главными видами сетей:</w:t>
      </w:r>
    </w:p>
    <w:p w:rsidR="000B4383" w:rsidRDefault="000B4383">
      <w:pPr>
        <w:numPr>
          <w:ilvl w:val="0"/>
          <w:numId w:val="38"/>
        </w:numPr>
        <w:tabs>
          <w:tab w:val="clear" w:pos="360"/>
          <w:tab w:val="num" w:pos="1080"/>
        </w:tabs>
        <w:ind w:left="1080"/>
      </w:pPr>
      <w:r>
        <w:rPr>
          <w:lang w:val="en-US"/>
        </w:rPr>
        <w:t>Локальная сеть</w:t>
      </w:r>
    </w:p>
    <w:p w:rsidR="000B4383" w:rsidRDefault="000B4383">
      <w:pPr>
        <w:numPr>
          <w:ilvl w:val="0"/>
          <w:numId w:val="38"/>
        </w:numPr>
        <w:tabs>
          <w:tab w:val="clear" w:pos="360"/>
          <w:tab w:val="num" w:pos="1080"/>
        </w:tabs>
        <w:ind w:left="1080"/>
      </w:pPr>
      <w:r>
        <w:rPr>
          <w:lang w:val="en-US"/>
        </w:rPr>
        <w:t>Сеть кольцевой стуктуры</w:t>
      </w:r>
    </w:p>
    <w:p w:rsidR="000B4383" w:rsidRDefault="000B4383">
      <w:pPr>
        <w:numPr>
          <w:ilvl w:val="0"/>
          <w:numId w:val="38"/>
        </w:numPr>
        <w:tabs>
          <w:tab w:val="clear" w:pos="360"/>
          <w:tab w:val="num" w:pos="1080"/>
        </w:tabs>
        <w:ind w:left="1080"/>
      </w:pPr>
      <w:r>
        <w:rPr>
          <w:lang w:val="en-US"/>
        </w:rPr>
        <w:lastRenderedPageBreak/>
        <w:t>Магистральная сеть</w:t>
      </w:r>
    </w:p>
    <w:p w:rsidR="000B4383" w:rsidRDefault="000B4383">
      <w:pPr>
        <w:ind w:firstLine="720"/>
      </w:pPr>
      <w:r>
        <w:t xml:space="preserve">Самый низки уровень сигнала назван «Синхронный Транспортный Модуль» первого уровня или </w:t>
      </w:r>
      <w:r>
        <w:rPr>
          <w:lang w:val="en-US"/>
        </w:rPr>
        <w:t>STM-1</w:t>
      </w:r>
      <w:r>
        <w:t xml:space="preserve">, имеющий скорость 155 Мб/с. Сигналы более высокого уровня получаются мультиплексированием с «чередованием байтов» сигналов низшего уровня. Линейная скорость более высокого уровня </w:t>
      </w:r>
      <w:r>
        <w:rPr>
          <w:lang w:val="en-US"/>
        </w:rPr>
        <w:t xml:space="preserve">STM-N </w:t>
      </w:r>
      <w:r>
        <w:t xml:space="preserve">сигнала равна произведению </w:t>
      </w:r>
      <w:r>
        <w:rPr>
          <w:lang w:val="en-US"/>
        </w:rPr>
        <w:t xml:space="preserve">N </w:t>
      </w:r>
      <w:r>
        <w:t>на 155.52 Мбит/с, т.е. линейную скорость сигнала самого низкого уровня.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10"/>
        <w:gridCol w:w="5210"/>
      </w:tblGrid>
      <w:tr w:rsidR="000B4383">
        <w:tc>
          <w:tcPr>
            <w:tcW w:w="5210" w:type="dxa"/>
          </w:tcPr>
          <w:p w:rsidR="000B4383" w:rsidRDefault="000B4383">
            <w:pPr>
              <w:jc w:val="center"/>
            </w:pPr>
            <w:r>
              <w:t>Синхронный транспортный модуль</w:t>
            </w:r>
          </w:p>
        </w:tc>
        <w:tc>
          <w:tcPr>
            <w:tcW w:w="5210" w:type="dxa"/>
          </w:tcPr>
          <w:p w:rsidR="000B4383" w:rsidRDefault="000B4383">
            <w:pPr>
              <w:jc w:val="center"/>
            </w:pPr>
            <w:r>
              <w:t>Линейная скорость (Мбит/с)</w:t>
            </w:r>
          </w:p>
        </w:tc>
      </w:tr>
      <w:tr w:rsidR="000B4383">
        <w:tc>
          <w:tcPr>
            <w:tcW w:w="5210" w:type="dxa"/>
          </w:tcPr>
          <w:p w:rsidR="000B4383" w:rsidRDefault="000B4383">
            <w:pPr>
              <w:jc w:val="center"/>
            </w:pPr>
            <w:r>
              <w:rPr>
                <w:lang w:val="en-US"/>
              </w:rPr>
              <w:t>STM-1</w:t>
            </w:r>
          </w:p>
        </w:tc>
        <w:tc>
          <w:tcPr>
            <w:tcW w:w="5210" w:type="dxa"/>
          </w:tcPr>
          <w:p w:rsidR="000B4383" w:rsidRDefault="000B4383">
            <w:pPr>
              <w:jc w:val="center"/>
            </w:pPr>
            <w:r>
              <w:t>155,52</w:t>
            </w:r>
          </w:p>
        </w:tc>
      </w:tr>
      <w:tr w:rsidR="000B4383">
        <w:tc>
          <w:tcPr>
            <w:tcW w:w="5210" w:type="dxa"/>
          </w:tcPr>
          <w:p w:rsidR="000B4383" w:rsidRDefault="000B4383">
            <w:pPr>
              <w:jc w:val="center"/>
            </w:pPr>
            <w:r>
              <w:rPr>
                <w:lang w:val="en-US"/>
              </w:rPr>
              <w:t>STM-4</w:t>
            </w:r>
          </w:p>
        </w:tc>
        <w:tc>
          <w:tcPr>
            <w:tcW w:w="5210" w:type="dxa"/>
          </w:tcPr>
          <w:p w:rsidR="000B4383" w:rsidRDefault="000B4383">
            <w:pPr>
              <w:jc w:val="center"/>
            </w:pPr>
            <w:r>
              <w:t>622,08</w:t>
            </w:r>
          </w:p>
        </w:tc>
      </w:tr>
      <w:tr w:rsidR="000B4383">
        <w:tc>
          <w:tcPr>
            <w:tcW w:w="5210" w:type="dxa"/>
          </w:tcPr>
          <w:p w:rsidR="000B4383" w:rsidRDefault="000B438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STM-16</w:t>
            </w:r>
          </w:p>
        </w:tc>
        <w:tc>
          <w:tcPr>
            <w:tcW w:w="5210" w:type="dxa"/>
          </w:tcPr>
          <w:p w:rsidR="000B4383" w:rsidRDefault="000B4383">
            <w:pPr>
              <w:jc w:val="center"/>
            </w:pPr>
            <w:r>
              <w:t>2488,32</w:t>
            </w:r>
          </w:p>
        </w:tc>
      </w:tr>
    </w:tbl>
    <w:p w:rsidR="000B4383" w:rsidRDefault="000B4383">
      <w:pPr>
        <w:pStyle w:val="1"/>
        <w:jc w:val="center"/>
        <w:rPr>
          <w:lang w:val="en-US"/>
        </w:rPr>
      </w:pPr>
      <w:bookmarkStart w:id="5" w:name="_Toc19031632"/>
      <w:r>
        <w:t xml:space="preserve">Цикл </w:t>
      </w:r>
      <w:r>
        <w:rPr>
          <w:lang w:val="en-US"/>
        </w:rPr>
        <w:t>SDH</w:t>
      </w:r>
      <w:bookmarkEnd w:id="5"/>
    </w:p>
    <w:p w:rsidR="000B4383" w:rsidRDefault="000B4383">
      <w:r>
        <w:rPr>
          <w:lang w:val="en-US"/>
        </w:rPr>
        <w:tab/>
        <w:t xml:space="preserve">SDH </w:t>
      </w:r>
      <w:r>
        <w:t>сигнал транспортируется, как синхронная структура, которая включает набор байтов (по 8 бит), организованныйх как двухмерный массив – синхронный транспортный цикл.</w:t>
      </w:r>
    </w:p>
    <w:p w:rsidR="000B4383" w:rsidRDefault="000B4383">
      <w:r>
        <w:tab/>
        <w:t xml:space="preserve">Цикл </w:t>
      </w:r>
      <w:r>
        <w:rPr>
          <w:lang w:val="en-US"/>
        </w:rPr>
        <w:t xml:space="preserve">SDH </w:t>
      </w:r>
      <w:r>
        <w:t>состоит из 2-х частей:</w:t>
      </w:r>
    </w:p>
    <w:p w:rsidR="000B4383" w:rsidRDefault="000B4383">
      <w:pPr>
        <w:numPr>
          <w:ilvl w:val="0"/>
          <w:numId w:val="39"/>
        </w:numPr>
      </w:pPr>
      <w:r>
        <w:t>Секционный заголовок</w:t>
      </w:r>
      <w:r>
        <w:rPr>
          <w:lang w:val="en-US"/>
        </w:rPr>
        <w:t xml:space="preserve"> (SOH=RSOH+MSOH) – </w:t>
      </w:r>
      <w:r>
        <w:t xml:space="preserve">область сигнала, которая обеспечивается в каждом цикле </w:t>
      </w:r>
      <w:r>
        <w:rPr>
          <w:lang w:val="en-US"/>
        </w:rPr>
        <w:t xml:space="preserve">SDH </w:t>
      </w:r>
      <w:r>
        <w:t>для выполнения функций, поддерживающих и обслуживающих транспортировку «виртуальных контейнеров» между смежными узлами сети</w:t>
      </w:r>
    </w:p>
    <w:p w:rsidR="000B4383" w:rsidRDefault="005B2F57">
      <w:pPr>
        <w:numPr>
          <w:ilvl w:val="0"/>
          <w:numId w:val="39"/>
        </w:numPr>
      </w:pPr>
      <w:r>
        <w:rPr>
          <w:noProof/>
        </w:rPr>
        <w:pict>
          <v:group id="_x0000_s1350" style="position:absolute;left:0;text-align:left;margin-left:100.05pt;margin-top:27.6pt;width:279.3pt;height:136.8pt;z-index:251657216" coordorigin="5586,5928" coordsize="5586,2736" o:allowincell="f">
            <v:rect id="_x0000_s1342" style="position:absolute;left:5586;top:5928;width:5586;height:2736"/>
            <v:line id="_x0000_s1343" style="position:absolute" from="7011,5928" to="7011,8664"/>
            <v:line id="_x0000_s1344" style="position:absolute" from="7296,5928" to="7296,8664"/>
            <v:line id="_x0000_s1345" style="position:absolute" from="5586,7011" to="7011,7011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346" type="#_x0000_t202" style="position:absolute;left:5871;top:7695;width:1083;height:627" filled="f" stroked="f">
              <v:textbox>
                <w:txbxContent>
                  <w:p w:rsidR="000B4383" w:rsidRDefault="000B4383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MSOH</w:t>
                    </w:r>
                  </w:p>
                </w:txbxContent>
              </v:textbox>
            </v:shape>
            <v:shape id="_x0000_s1347" type="#_x0000_t202" style="position:absolute;left:5871;top:6270;width:1083;height:627" filled="f" stroked="f">
              <v:textbox>
                <w:txbxContent>
                  <w:p w:rsidR="000B4383" w:rsidRDefault="000B4383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RSOH</w:t>
                    </w:r>
                  </w:p>
                </w:txbxContent>
              </v:textbox>
            </v:shape>
            <v:shape id="_x0000_s1348" type="#_x0000_t202" style="position:absolute;left:6954;top:6783;width:456;height:912" filled="f" stroked="f">
              <v:textbox style="mso-next-textbox:#_x0000_s1348">
                <w:txbxContent>
                  <w:p w:rsidR="000B4383" w:rsidRDefault="000B4383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POH</w:t>
                    </w:r>
                  </w:p>
                </w:txbxContent>
              </v:textbox>
            </v:shape>
            <v:shape id="_x0000_s1349" type="#_x0000_t202" style="position:absolute;left:8094;top:6954;width:1083;height:627" filled="f" stroked="f">
              <v:textbox>
                <w:txbxContent>
                  <w:p w:rsidR="000B4383" w:rsidRDefault="000B4383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VC</w:t>
                    </w:r>
                  </w:p>
                </w:txbxContent>
              </v:textbox>
            </v:shape>
            <w10:wrap type="square" side="right"/>
          </v:group>
        </w:pict>
      </w:r>
      <w:r w:rsidR="000B4383">
        <w:t>Виртуальный контейнер</w:t>
      </w:r>
      <w:r w:rsidR="000B4383">
        <w:rPr>
          <w:lang w:val="en-US"/>
        </w:rPr>
        <w:t>(VC+POH) – включает “контейнерную” область, которая несет траффик клиента – полезную нагрузку, и трактовый заголовок РОН</w:t>
      </w:r>
    </w:p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/>
    <w:p w:rsidR="000B4383" w:rsidRDefault="000B4383">
      <w:pPr>
        <w:pStyle w:val="a4"/>
        <w:tabs>
          <w:tab w:val="clear" w:pos="4153"/>
          <w:tab w:val="clear" w:pos="8306"/>
        </w:tabs>
      </w:pPr>
    </w:p>
    <w:p w:rsidR="000B4383" w:rsidRDefault="000B4383"/>
    <w:p w:rsidR="000B4383" w:rsidRDefault="000B4383"/>
    <w:p w:rsidR="000B4383" w:rsidRDefault="000B4383">
      <w:r>
        <w:t>Байты в цикле передаются слева-</w:t>
      </w:r>
      <w:r>
        <w:rPr>
          <w:lang w:val="en-US"/>
        </w:rPr>
        <w:t xml:space="preserve">&gt; </w:t>
      </w:r>
      <w:r>
        <w:t>направо, сверху -</w:t>
      </w:r>
      <w:r>
        <w:rPr>
          <w:lang w:val="en-US"/>
        </w:rPr>
        <w:t>&gt;</w:t>
      </w:r>
      <w:r>
        <w:t>вниз, т.е цикл передается как последовательность 9 строк.</w:t>
      </w:r>
    </w:p>
    <w:p w:rsidR="000B4383" w:rsidRDefault="005B2F57">
      <w:pPr>
        <w:rPr>
          <w:lang w:val="en-US"/>
        </w:rPr>
      </w:pPr>
      <w:r>
        <w:rPr>
          <w:lang w:val="en-US"/>
        </w:rPr>
        <w:pict>
          <v:shape id="_x0000_i1027" type="#_x0000_t75" style="width:50.25pt;height:32.25pt" fillcolor="window">
            <v:imagedata r:id="rId9" o:title="sdh1"/>
          </v:shape>
        </w:pict>
      </w:r>
      <w:r w:rsidR="000B4383">
        <w:rPr>
          <w:sz w:val="40"/>
          <w:lang w:val="en-US"/>
        </w:rPr>
        <w:t>--&gt;</w:t>
      </w:r>
      <w:r>
        <w:rPr>
          <w:lang w:val="en-US"/>
        </w:rPr>
        <w:pict>
          <v:shape id="_x0000_i1028" type="#_x0000_t75" style="width:390.75pt;height:28.5pt" fillcolor="window">
            <v:imagedata r:id="rId10" o:title="sdh2"/>
          </v:shape>
        </w:pict>
      </w:r>
    </w:p>
    <w:p w:rsidR="000B4383" w:rsidRDefault="000B4383">
      <w:pPr>
        <w:pStyle w:val="1"/>
        <w:jc w:val="center"/>
      </w:pPr>
      <w:bookmarkStart w:id="6" w:name="_Toc19031633"/>
      <w:r>
        <w:t>Структура цикла</w:t>
      </w:r>
      <w:bookmarkEnd w:id="6"/>
    </w:p>
    <w:p w:rsidR="000B4383" w:rsidRDefault="000B4383">
      <w:pPr>
        <w:ind w:firstLine="720"/>
        <w:rPr>
          <w:lang w:val="en-US"/>
        </w:rPr>
      </w:pPr>
      <w:r>
        <w:t xml:space="preserve">Цикл </w:t>
      </w:r>
      <w:r>
        <w:rPr>
          <w:lang w:val="en-US"/>
        </w:rPr>
        <w:t>SDH можно представить как двухмерный массив из N-строк и M-столбцов ячеек, каждая из которых – отдельный байт синхронного сигнала. Идентичность каждого байта известна, и сохраняется относительно байтов цикловой синнхронизации, известных как А1 и А2, расположенных в самом начале массива и обеспечивающих точку отсчета, от которой определяются все остальные байты.</w:t>
      </w:r>
    </w:p>
    <w:p w:rsidR="000B4383" w:rsidRDefault="000B4383">
      <w:pPr>
        <w:ind w:firstLine="720"/>
        <w:rPr>
          <w:lang w:val="en-US"/>
        </w:rPr>
      </w:pPr>
      <w:r>
        <w:rPr>
          <w:lang w:val="en-US"/>
        </w:rPr>
        <w:t xml:space="preserve">Для сигнала STM-1: N=9 M=270. </w:t>
      </w:r>
    </w:p>
    <w:p w:rsidR="000B4383" w:rsidRDefault="000B4383">
      <w:r>
        <w:rPr>
          <w:lang w:val="en-US"/>
        </w:rPr>
        <w:t>Расчет базовой скорости SDH производится следующим образом:</w:t>
      </w:r>
    </w:p>
    <w:p w:rsidR="000B4383" w:rsidRDefault="000B4383">
      <w:pPr>
        <w:ind w:firstLine="720"/>
        <w:rPr>
          <w:lang w:val="en-US"/>
        </w:rPr>
      </w:pPr>
      <w:r>
        <w:rPr>
          <w:lang w:val="en-US"/>
        </w:rPr>
        <w:t>V=N (строк)*M(столбцов)*8 бит (размер ячейки)* 8000циклов/с</w:t>
      </w:r>
      <w:r>
        <w:rPr>
          <w:vertAlign w:val="superscript"/>
          <w:lang w:val="en-US"/>
        </w:rPr>
        <w:t>*</w:t>
      </w:r>
      <w:r>
        <w:rPr>
          <w:lang w:val="en-US"/>
        </w:rPr>
        <w:t>=155,52 Мюит/с</w:t>
      </w:r>
    </w:p>
    <w:p w:rsidR="000B4383" w:rsidRDefault="000B4383">
      <w:r>
        <w:rPr>
          <w:vertAlign w:val="superscript"/>
        </w:rPr>
        <w:t>*</w:t>
      </w:r>
      <w:r>
        <w:t>-согласно теории Найквиста (удвоенная самая высокая частота канала ТЧ 4кГц)</w:t>
      </w:r>
    </w:p>
    <w:p w:rsidR="000B4383" w:rsidRDefault="000B4383">
      <w:pPr>
        <w:pStyle w:val="1"/>
        <w:jc w:val="center"/>
      </w:pPr>
      <w:bookmarkStart w:id="7" w:name="_Toc19031634"/>
      <w:r>
        <w:t>Мультиплексирование</w:t>
      </w:r>
      <w:bookmarkEnd w:id="7"/>
    </w:p>
    <w:p w:rsidR="000B4383" w:rsidRDefault="000B4383">
      <w:pPr>
        <w:rPr>
          <w:lang w:val="en-US"/>
        </w:rPr>
      </w:pPr>
      <w:r>
        <w:tab/>
        <w:t xml:space="preserve">Более высокие скорости </w:t>
      </w:r>
      <w:r>
        <w:rPr>
          <w:lang w:val="en-US"/>
        </w:rPr>
        <w:t>SDH формируютя процессом мультиплексирования сигналов более низкого уровня, таким образом, четыре параллельных и синхронных сигнала STM-1</w:t>
      </w:r>
      <w:r>
        <w:t xml:space="preserve">, могт быть объединены вместе методом «чередования байт», чтобы сформировать сигнал </w:t>
      </w:r>
      <w:r>
        <w:rPr>
          <w:lang w:val="en-US"/>
        </w:rPr>
        <w:t>STM-4 со скоростью 4* STM-1.</w:t>
      </w:r>
    </w:p>
    <w:p w:rsidR="000B4383" w:rsidRDefault="000B4383">
      <w:pPr>
        <w:rPr>
          <w:lang w:val="en-US"/>
        </w:rPr>
      </w:pPr>
      <w:r>
        <w:rPr>
          <w:lang w:val="en-US"/>
        </w:rPr>
        <w:tab/>
        <w:t>STM-4 сигнал имеет 9  рядов, но уже 1800 колонок, следовательно,</w:t>
      </w:r>
    </w:p>
    <w:p w:rsidR="000B4383" w:rsidRDefault="000B4383">
      <w:r>
        <w:rPr>
          <w:lang w:val="en-US"/>
        </w:rPr>
        <w:lastRenderedPageBreak/>
        <w:t xml:space="preserve">SDН </w:t>
      </w:r>
      <w:r>
        <w:t>скорость=9 рядов*1800 колонок*8бит*8000циклов/с=622,08Мбит/с.</w:t>
      </w:r>
    </w:p>
    <w:p w:rsidR="000B4383" w:rsidRDefault="000B4383">
      <w:pPr>
        <w:rPr>
          <w:lang w:val="en-US"/>
        </w:rPr>
      </w:pPr>
      <w:r>
        <w:tab/>
        <w:t xml:space="preserve">Двухмерное представление сигнала </w:t>
      </w:r>
      <w:r>
        <w:rPr>
          <w:lang w:val="en-US"/>
        </w:rPr>
        <w:t>STM-4 составляется из индивидуальных колонок от каждой из четырех STM-1 сигнальных структур и чередованием их в повторяющейся последовательности.</w:t>
      </w:r>
    </w:p>
    <w:p w:rsidR="000B4383" w:rsidRDefault="000B4383">
      <w:pPr>
        <w:rPr>
          <w:lang w:val="en-US"/>
        </w:rPr>
      </w:pPr>
      <w:r>
        <w:rPr>
          <w:lang w:val="en-US"/>
        </w:rPr>
        <w:tab/>
        <w:t>Полная структура STM-4 составляется следующим образом:</w:t>
      </w:r>
    </w:p>
    <w:p w:rsidR="000B4383" w:rsidRDefault="000B4383">
      <w:pPr>
        <w:numPr>
          <w:ilvl w:val="0"/>
          <w:numId w:val="40"/>
        </w:numPr>
        <w:rPr>
          <w:lang w:val="en-US"/>
        </w:rPr>
      </w:pPr>
      <w:r>
        <w:rPr>
          <w:lang w:val="en-US"/>
        </w:rPr>
        <w:t>Первые 36 колонок цикла STM-4 образуют заголовок секции.</w:t>
      </w:r>
    </w:p>
    <w:p w:rsidR="000B4383" w:rsidRDefault="000B4383">
      <w:pPr>
        <w:numPr>
          <w:ilvl w:val="0"/>
          <w:numId w:val="40"/>
        </w:numPr>
        <w:rPr>
          <w:lang w:val="en-US"/>
        </w:rPr>
      </w:pPr>
      <w:r>
        <w:rPr>
          <w:lang w:val="en-US"/>
        </w:rPr>
        <w:t>Остальные 1044 колонки представляют 4 области полезной нагрузки, связанные с четырьмя STM-1</w:t>
      </w:r>
    </w:p>
    <w:p w:rsidR="000B4383" w:rsidRDefault="000B4383">
      <w:pPr>
        <w:pStyle w:val="1"/>
        <w:jc w:val="center"/>
        <w:rPr>
          <w:lang w:val="en-US"/>
        </w:rPr>
      </w:pPr>
      <w:bookmarkStart w:id="8" w:name="_Toc19031635"/>
      <w:r>
        <w:rPr>
          <w:lang w:val="en-US"/>
        </w:rPr>
        <w:t>Анализ заголовка</w:t>
      </w:r>
      <w:bookmarkEnd w:id="8"/>
    </w:p>
    <w:p w:rsidR="000B4383" w:rsidRDefault="000B4383">
      <w:pPr>
        <w:ind w:firstLine="720"/>
        <w:rPr>
          <w:lang w:val="en-US"/>
        </w:rPr>
      </w:pPr>
      <w:r>
        <w:t xml:space="preserve">Для управления и обслуживания, сеть </w:t>
      </w:r>
      <w:r>
        <w:rPr>
          <w:lang w:val="en-US"/>
        </w:rPr>
        <w:t>SDH может быть представлена в виде трех отдельных участков:</w:t>
      </w:r>
    </w:p>
    <w:p w:rsidR="000B4383" w:rsidRDefault="005B2F57">
      <w:pPr>
        <w:ind w:firstLine="720"/>
        <w:rPr>
          <w:lang w:val="en-US"/>
        </w:rPr>
      </w:pPr>
      <w:r>
        <w:rPr>
          <w:lang w:val="en-US"/>
        </w:rPr>
        <w:pict>
          <v:shape id="_x0000_i1029" type="#_x0000_t75" style="width:375.75pt;height:180pt" fillcolor="window">
            <v:imagedata r:id="rId11" o:title="sdh3"/>
          </v:shape>
        </w:pict>
      </w:r>
    </w:p>
    <w:p w:rsidR="000B4383" w:rsidRDefault="000B4383">
      <w:pPr>
        <w:rPr>
          <w:lang w:val="en-US"/>
        </w:rPr>
      </w:pPr>
      <w:r>
        <w:rPr>
          <w:lang w:val="en-US"/>
        </w:rPr>
        <w:tab/>
        <w:t>Заголовок внутри SDH</w:t>
      </w:r>
      <w:r>
        <w:t xml:space="preserve"> сигнала поддерживает обслуживание сети на уровнях тракта и секции. Заголовок секции (</w:t>
      </w:r>
      <w:r>
        <w:rPr>
          <w:lang w:val="en-US"/>
        </w:rPr>
        <w:t>SOH</w:t>
      </w:r>
      <w:r>
        <w:t>)</w:t>
      </w:r>
      <w:r>
        <w:rPr>
          <w:lang w:val="en-US"/>
        </w:rPr>
        <w:t xml:space="preserve"> </w:t>
      </w:r>
      <w:r>
        <w:t>содержит заголовки регенерационной (</w:t>
      </w:r>
      <w:r>
        <w:rPr>
          <w:lang w:val="en-US"/>
        </w:rPr>
        <w:t xml:space="preserve">RSOH) и мультиплексорной (MSOH) секций. Трактовый заголовок расположен в виртуальном контейнере (VC-4) </w:t>
      </w:r>
      <w:r>
        <w:t xml:space="preserve">в пределах </w:t>
      </w:r>
      <w:r>
        <w:rPr>
          <w:lang w:val="en-US"/>
        </w:rPr>
        <w:t>STM-1.</w:t>
      </w:r>
    </w:p>
    <w:p w:rsidR="000B4383" w:rsidRDefault="005B2F57">
      <w:pPr>
        <w:rPr>
          <w:lang w:val="en-US"/>
        </w:rPr>
      </w:pPr>
      <w:r>
        <w:rPr>
          <w:noProof/>
        </w:rPr>
        <w:pict>
          <v:group id="_x0000_s1362" style="position:absolute;margin-left:179.85pt;margin-top:.25pt;width:156.75pt;height:165.3pt;z-index:251658240" coordorigin="4731,9405" coordsize="3135,3306" o:allowincell="f">
            <v:rect id="_x0000_s1356" style="position:absolute;left:4731;top:9405;width:3135;height:3306"/>
            <v:shape id="_x0000_s1357" type="#_x0000_t202" style="position:absolute;left:7011;top:9690;width:798;height:2850" filled="f" stroked="f">
              <v:textbox style="layout-flow:vertical;mso-layout-flow-alt:bottom-to-top">
                <w:txbxContent>
                  <w:p w:rsidR="000B4383" w:rsidRDefault="000B4383">
                    <w:pPr>
                      <w:pStyle w:val="a8"/>
                    </w:pPr>
                    <w:r>
                      <w:t>Заголовок тракта (POH)</w:t>
                    </w:r>
                  </w:p>
                </w:txbxContent>
              </v:textbox>
            </v:shape>
            <v:line id="_x0000_s1358" style="position:absolute;flip:y" from="7068,9405" to="7068,12711"/>
            <v:shape id="_x0000_s1359" type="#_x0000_t202" style="position:absolute;left:4731;top:9462;width:2337;height:1026" filled="f" stroked="f">
              <v:textbox>
                <w:txbxContent>
                  <w:p w:rsidR="000B4383" w:rsidRDefault="000B4383">
                    <w:pPr>
                      <w:pStyle w:val="a8"/>
                    </w:pPr>
                    <w:r>
                      <w:t>Заголовок регенерационной секции (RSOH)</w:t>
                    </w:r>
                  </w:p>
                </w:txbxContent>
              </v:textbox>
            </v:shape>
            <v:line id="_x0000_s1360" style="position:absolute" from="4731,10659" to="7068,10659"/>
            <v:shape id="_x0000_s1361" type="#_x0000_t202" style="position:absolute;left:4731;top:10887;width:2337;height:1710" filled="f" stroked="f">
              <v:textbox>
                <w:txbxContent>
                  <w:p w:rsidR="000B4383" w:rsidRDefault="000B4383">
                    <w:pPr>
                      <w:jc w:val="center"/>
                      <w:rPr>
                        <w:lang w:val="en-US"/>
                      </w:rPr>
                    </w:pPr>
                    <w:r>
                      <w:t>Заголовок мультиплексорной секции (</w:t>
                    </w:r>
                    <w:r>
                      <w:rPr>
                        <w:lang w:val="en-US"/>
                      </w:rPr>
                      <w:t>MSOH</w:t>
                    </w:r>
                    <w:r>
                      <w:t>)</w:t>
                    </w:r>
                  </w:p>
                </w:txbxContent>
              </v:textbox>
            </v:shape>
            <w10:wrap type="square" side="right"/>
          </v:group>
        </w:pict>
      </w:r>
    </w:p>
    <w:p w:rsidR="000B4383" w:rsidRDefault="000B4383">
      <w:pPr>
        <w:rPr>
          <w:lang w:val="en-US"/>
        </w:rPr>
      </w:pPr>
    </w:p>
    <w:p w:rsidR="000B4383" w:rsidRDefault="000B4383">
      <w:pPr>
        <w:rPr>
          <w:lang w:val="en-US"/>
        </w:rPr>
      </w:pPr>
    </w:p>
    <w:p w:rsidR="000B4383" w:rsidRDefault="000B4383">
      <w:pPr>
        <w:rPr>
          <w:lang w:val="en-US"/>
        </w:rPr>
      </w:pPr>
    </w:p>
    <w:p w:rsidR="000B4383" w:rsidRDefault="000B4383">
      <w:pPr>
        <w:rPr>
          <w:lang w:val="en-US"/>
        </w:rPr>
      </w:pPr>
    </w:p>
    <w:p w:rsidR="000B4383" w:rsidRDefault="000B4383">
      <w:pPr>
        <w:rPr>
          <w:lang w:val="en-US"/>
        </w:rPr>
      </w:pPr>
    </w:p>
    <w:p w:rsidR="000B4383" w:rsidRDefault="000B4383">
      <w:pPr>
        <w:rPr>
          <w:lang w:val="en-US"/>
        </w:rPr>
      </w:pPr>
    </w:p>
    <w:p w:rsidR="000B4383" w:rsidRDefault="000B4383">
      <w:pPr>
        <w:rPr>
          <w:lang w:val="en-US"/>
        </w:rPr>
      </w:pPr>
    </w:p>
    <w:p w:rsidR="000B4383" w:rsidRDefault="000B4383">
      <w:pPr>
        <w:rPr>
          <w:lang w:val="en-US"/>
        </w:rPr>
      </w:pPr>
    </w:p>
    <w:p w:rsidR="000B4383" w:rsidRDefault="000B4383">
      <w:pPr>
        <w:rPr>
          <w:lang w:val="en-US"/>
        </w:rPr>
      </w:pPr>
    </w:p>
    <w:p w:rsidR="000B4383" w:rsidRDefault="000B4383">
      <w:pPr>
        <w:rPr>
          <w:lang w:val="en-US"/>
        </w:rPr>
      </w:pPr>
    </w:p>
    <w:p w:rsidR="000B4383" w:rsidRDefault="000B4383">
      <w:pPr>
        <w:rPr>
          <w:lang w:val="en-US"/>
        </w:rPr>
      </w:pPr>
    </w:p>
    <w:p w:rsidR="000B4383" w:rsidRDefault="000B4383">
      <w:pPr>
        <w:pStyle w:val="2"/>
        <w:jc w:val="center"/>
      </w:pPr>
      <w:bookmarkStart w:id="9" w:name="_Toc19031636"/>
      <w:r>
        <w:t>Трактовый заголовок</w:t>
      </w:r>
      <w:bookmarkEnd w:id="9"/>
    </w:p>
    <w:p w:rsidR="000B4383" w:rsidRDefault="000B4383">
      <w:r>
        <w:t>Функции:</w:t>
      </w:r>
    </w:p>
    <w:p w:rsidR="000B4383" w:rsidRDefault="000B4383">
      <w:pPr>
        <w:numPr>
          <w:ilvl w:val="0"/>
          <w:numId w:val="43"/>
        </w:numPr>
      </w:pPr>
      <w:r>
        <w:t>Сообщение трассы тракта</w:t>
      </w:r>
    </w:p>
    <w:p w:rsidR="000B4383" w:rsidRDefault="000B4383">
      <w:pPr>
        <w:numPr>
          <w:ilvl w:val="0"/>
          <w:numId w:val="43"/>
        </w:numPr>
      </w:pPr>
      <w:r>
        <w:t>Контроль четности</w:t>
      </w:r>
    </w:p>
    <w:p w:rsidR="000B4383" w:rsidRDefault="000B4383">
      <w:pPr>
        <w:numPr>
          <w:ilvl w:val="0"/>
          <w:numId w:val="43"/>
        </w:numPr>
      </w:pPr>
      <w:r>
        <w:t>Структура виртуальног  контейнера</w:t>
      </w:r>
    </w:p>
    <w:p w:rsidR="000B4383" w:rsidRDefault="000B4383">
      <w:pPr>
        <w:numPr>
          <w:ilvl w:val="0"/>
          <w:numId w:val="43"/>
        </w:numPr>
      </w:pPr>
      <w:r>
        <w:t>Тревожная сигнализации и информация о характеристиках</w:t>
      </w:r>
    </w:p>
    <w:p w:rsidR="000B4383" w:rsidRDefault="000B4383">
      <w:pPr>
        <w:numPr>
          <w:ilvl w:val="0"/>
          <w:numId w:val="43"/>
        </w:numPr>
      </w:pPr>
      <w:r>
        <w:t>Пользовательский канал</w:t>
      </w:r>
    </w:p>
    <w:p w:rsidR="000B4383" w:rsidRDefault="000B4383">
      <w:pPr>
        <w:numPr>
          <w:ilvl w:val="0"/>
          <w:numId w:val="43"/>
        </w:numPr>
      </w:pPr>
      <w:r>
        <w:t xml:space="preserve">Индикация сверхцикла для </w:t>
      </w:r>
      <w:r>
        <w:rPr>
          <w:lang w:val="en-US"/>
        </w:rPr>
        <w:t xml:space="preserve">TU </w:t>
      </w:r>
      <w:r>
        <w:t>(компонентных блоков)</w:t>
      </w:r>
    </w:p>
    <w:p w:rsidR="000B4383" w:rsidRDefault="000B4383">
      <w:pPr>
        <w:numPr>
          <w:ilvl w:val="0"/>
          <w:numId w:val="43"/>
        </w:numPr>
      </w:pPr>
      <w:r>
        <w:t>Защитное переключение трактов</w:t>
      </w:r>
    </w:p>
    <w:p w:rsidR="000B4383" w:rsidRDefault="000B4383">
      <w:pPr>
        <w:pStyle w:val="3"/>
        <w:jc w:val="center"/>
      </w:pPr>
      <w:bookmarkStart w:id="10" w:name="_Toc19031637"/>
      <w:r>
        <w:lastRenderedPageBreak/>
        <w:t>Байты трактового заголовка</w:t>
      </w:r>
      <w:bookmarkEnd w:id="10"/>
    </w:p>
    <w:p w:rsidR="000B4383" w:rsidRDefault="005B2F57">
      <w:pPr>
        <w:pStyle w:val="a8"/>
      </w:pPr>
      <w:r>
        <w:pict>
          <v:shape id="_x0000_i1030" type="#_x0000_t75" style="width:156.75pt;height:194.25pt" fillcolor="window">
            <v:imagedata r:id="rId12" o:title="sdh4"/>
          </v:shape>
        </w:pict>
      </w:r>
    </w:p>
    <w:p w:rsidR="000B4383" w:rsidRDefault="000B4383">
      <w:pPr>
        <w:rPr>
          <w:lang w:val="en-US"/>
        </w:rPr>
      </w:pPr>
      <w:r>
        <w:rPr>
          <w:b/>
          <w:lang w:val="en-US"/>
        </w:rPr>
        <w:t>J1</w:t>
      </w:r>
      <w:r>
        <w:rPr>
          <w:lang w:val="en-US"/>
        </w:rPr>
        <w:t>- 16-ти или 64х байтное сообщение о маршруте тракта поддерживает непрерывную проверку между любой точкой тракта и точкой начала тракта</w:t>
      </w:r>
    </w:p>
    <w:p w:rsidR="000B4383" w:rsidRDefault="000B4383">
      <w:pPr>
        <w:rPr>
          <w:lang w:val="en-US"/>
        </w:rPr>
      </w:pPr>
      <w:r>
        <w:rPr>
          <w:b/>
          <w:lang w:val="en-US"/>
        </w:rPr>
        <w:t>В3</w:t>
      </w:r>
      <w:r>
        <w:rPr>
          <w:lang w:val="en-US"/>
        </w:rPr>
        <w:t xml:space="preserve"> – (побитовый контроль четности) – выполняет функцию контроля трактовых ошибок.</w:t>
      </w:r>
    </w:p>
    <w:p w:rsidR="000B4383" w:rsidRDefault="000B4383">
      <w:pPr>
        <w:rPr>
          <w:lang w:val="en-US"/>
        </w:rPr>
      </w:pPr>
      <w:r>
        <w:rPr>
          <w:b/>
          <w:lang w:val="en-US"/>
        </w:rPr>
        <w:t>С2</w:t>
      </w:r>
      <w:r>
        <w:rPr>
          <w:lang w:val="en-US"/>
        </w:rPr>
        <w:t xml:space="preserve"> – указыват структуру виртуального контейнера, посредством метки, выбранной из 256 возможных значений. Эта информационная структура указывает, какие полезные нагрузки размещены в пределах виртуального контейнера.</w:t>
      </w:r>
    </w:p>
    <w:p w:rsidR="000B4383" w:rsidRDefault="000B4383">
      <w:r>
        <w:rPr>
          <w:b/>
          <w:lang w:val="en-US"/>
        </w:rPr>
        <w:t>G1</w:t>
      </w:r>
      <w:r>
        <w:rPr>
          <w:lang w:val="en-US"/>
        </w:rPr>
        <w:t xml:space="preserve"> – </w:t>
      </w:r>
      <w:r>
        <w:t>сообщение о состоянии наблюдаемых характеристик от приемного оборудования тракта к передающему.</w:t>
      </w:r>
    </w:p>
    <w:p w:rsidR="000B4383" w:rsidRDefault="000B4383">
      <w:r>
        <w:rPr>
          <w:b/>
          <w:lang w:val="en-US"/>
        </w:rPr>
        <w:t>F2</w:t>
      </w:r>
      <w:r>
        <w:rPr>
          <w:lang w:val="en-US"/>
        </w:rPr>
        <w:t xml:space="preserve"> – </w:t>
      </w:r>
      <w:r>
        <w:t>байт оператора тракта</w:t>
      </w:r>
    </w:p>
    <w:p w:rsidR="000B4383" w:rsidRDefault="000B4383">
      <w:r>
        <w:rPr>
          <w:b/>
        </w:rPr>
        <w:t>Н4</w:t>
      </w:r>
      <w:r>
        <w:t xml:space="preserve"> – индикация фазы сверхцикла </w:t>
      </w:r>
      <w:r>
        <w:rPr>
          <w:lang w:val="en-US"/>
        </w:rPr>
        <w:t xml:space="preserve">TU </w:t>
      </w:r>
      <w:r>
        <w:t xml:space="preserve"> полезных нашрузок</w:t>
      </w:r>
    </w:p>
    <w:p w:rsidR="000B4383" w:rsidRDefault="000B4383">
      <w:r>
        <w:rPr>
          <w:b/>
          <w:lang w:val="en-US"/>
        </w:rPr>
        <w:t>F3</w:t>
      </w:r>
      <w:r>
        <w:rPr>
          <w:lang w:val="en-US"/>
        </w:rPr>
        <w:t xml:space="preserve"> – </w:t>
      </w:r>
      <w:r>
        <w:t>байт канала пользователя</w:t>
      </w:r>
    </w:p>
    <w:p w:rsidR="000B4383" w:rsidRDefault="000B4383">
      <w:pPr>
        <w:rPr>
          <w:lang w:val="en-US"/>
        </w:rPr>
      </w:pPr>
      <w:r>
        <w:rPr>
          <w:b/>
        </w:rPr>
        <w:t xml:space="preserve">К3 – </w:t>
      </w:r>
      <w:r>
        <w:t xml:space="preserve">обеспечение защиты на уровне тракта, переключение на индивидуальные тракты </w:t>
      </w:r>
      <w:r>
        <w:rPr>
          <w:lang w:val="en-US"/>
        </w:rPr>
        <w:t>VC-4</w:t>
      </w:r>
    </w:p>
    <w:p w:rsidR="000B4383" w:rsidRDefault="000B4383">
      <w:pPr>
        <w:rPr>
          <w:lang w:val="en-US"/>
        </w:rPr>
      </w:pPr>
      <w:r>
        <w:rPr>
          <w:b/>
          <w:lang w:val="en-US"/>
        </w:rPr>
        <w:t xml:space="preserve">N1 – </w:t>
      </w:r>
      <w:r>
        <w:rPr>
          <w:lang w:val="en-US"/>
        </w:rPr>
        <w:t>сквозной контроль характеристики транзитной связи.</w:t>
      </w:r>
    </w:p>
    <w:p w:rsidR="000B4383" w:rsidRDefault="000B4383">
      <w:pPr>
        <w:pStyle w:val="2"/>
        <w:jc w:val="center"/>
        <w:rPr>
          <w:lang w:val="en-US"/>
        </w:rPr>
      </w:pPr>
      <w:bookmarkStart w:id="11" w:name="_Toc19031638"/>
      <w:r>
        <w:rPr>
          <w:lang w:val="en-US"/>
        </w:rPr>
        <w:t>Мультиплексорный заголовок</w:t>
      </w:r>
      <w:bookmarkEnd w:id="11"/>
    </w:p>
    <w:p w:rsidR="000B4383" w:rsidRDefault="000B4383">
      <w:r>
        <w:t>Функции:</w:t>
      </w:r>
    </w:p>
    <w:p w:rsidR="000B4383" w:rsidRDefault="000B4383">
      <w:pPr>
        <w:numPr>
          <w:ilvl w:val="0"/>
          <w:numId w:val="42"/>
        </w:numPr>
      </w:pPr>
      <w:r>
        <w:t>Контроль четности</w:t>
      </w:r>
    </w:p>
    <w:p w:rsidR="000B4383" w:rsidRDefault="000B4383">
      <w:pPr>
        <w:numPr>
          <w:ilvl w:val="0"/>
          <w:numId w:val="42"/>
        </w:numPr>
      </w:pPr>
      <w:r>
        <w:t>Указатели полезной нагрузки</w:t>
      </w:r>
    </w:p>
    <w:p w:rsidR="000B4383" w:rsidRDefault="000B4383">
      <w:pPr>
        <w:numPr>
          <w:ilvl w:val="0"/>
          <w:numId w:val="42"/>
        </w:numPr>
      </w:pPr>
      <w:r>
        <w:t>Тревожная сигнализация</w:t>
      </w:r>
    </w:p>
    <w:p w:rsidR="000B4383" w:rsidRDefault="000B4383">
      <w:pPr>
        <w:numPr>
          <w:ilvl w:val="0"/>
          <w:numId w:val="42"/>
        </w:numPr>
      </w:pPr>
      <w:r>
        <w:t>Автоматическое защитное переключение</w:t>
      </w:r>
    </w:p>
    <w:p w:rsidR="000B4383" w:rsidRDefault="000B4383">
      <w:pPr>
        <w:numPr>
          <w:ilvl w:val="0"/>
          <w:numId w:val="42"/>
        </w:numPr>
      </w:pPr>
      <w:r>
        <w:t>Канал передачи данных</w:t>
      </w:r>
    </w:p>
    <w:p w:rsidR="000B4383" w:rsidRDefault="000B4383">
      <w:pPr>
        <w:numPr>
          <w:ilvl w:val="0"/>
          <w:numId w:val="42"/>
        </w:numPr>
      </w:pPr>
      <w:r>
        <w:t>Служебная связь</w:t>
      </w:r>
    </w:p>
    <w:p w:rsidR="000B4383" w:rsidRDefault="000B4383">
      <w:pPr>
        <w:pStyle w:val="3"/>
        <w:jc w:val="center"/>
      </w:pPr>
      <w:bookmarkStart w:id="12" w:name="_Toc19031639"/>
      <w:r>
        <w:t>Байты заголовка мультиплексорной секции</w:t>
      </w:r>
      <w:bookmarkEnd w:id="12"/>
    </w:p>
    <w:p w:rsidR="000B4383" w:rsidRDefault="005B2F57">
      <w:pPr>
        <w:pStyle w:val="10"/>
        <w:jc w:val="center"/>
      </w:pPr>
      <w:r>
        <w:pict>
          <v:shape id="_x0000_i1031" type="#_x0000_t75" style="width:256.5pt;height:173.25pt" fillcolor="window">
            <v:imagedata r:id="rId13" o:title="sdh4"/>
          </v:shape>
        </w:pict>
      </w:r>
    </w:p>
    <w:p w:rsidR="000B4383" w:rsidRDefault="000B4383">
      <w:pPr>
        <w:rPr>
          <w:lang w:val="en-US"/>
        </w:rPr>
      </w:pPr>
      <w:r>
        <w:rPr>
          <w:b/>
        </w:rPr>
        <w:t>Н1, 2, 3</w:t>
      </w:r>
      <w:r>
        <w:t xml:space="preserve"> (9 байт)– байты указателя административного блока </w:t>
      </w:r>
      <w:r>
        <w:rPr>
          <w:lang w:val="en-US"/>
        </w:rPr>
        <w:t>(AU) (</w:t>
      </w:r>
      <w:r>
        <w:t xml:space="preserve">определяют положение начала </w:t>
      </w:r>
      <w:r>
        <w:rPr>
          <w:lang w:val="en-US"/>
        </w:rPr>
        <w:t xml:space="preserve">VC-4 </w:t>
      </w:r>
      <w:r>
        <w:t xml:space="preserve">в пределах цикла </w:t>
      </w:r>
      <w:r>
        <w:rPr>
          <w:lang w:val="en-US"/>
        </w:rPr>
        <w:t>STM-1)</w:t>
      </w:r>
    </w:p>
    <w:p w:rsidR="000B4383" w:rsidRDefault="000B4383">
      <w:pPr>
        <w:rPr>
          <w:lang w:val="en-US"/>
        </w:rPr>
      </w:pPr>
      <w:r>
        <w:rPr>
          <w:b/>
          <w:lang w:val="en-US"/>
        </w:rPr>
        <w:t>В2</w:t>
      </w:r>
      <w:r>
        <w:rPr>
          <w:lang w:val="en-US"/>
        </w:rPr>
        <w:t xml:space="preserve"> (3 байта) – контроль ошибок мультиплексорной секции</w:t>
      </w:r>
    </w:p>
    <w:p w:rsidR="000B4383" w:rsidRDefault="000B4383">
      <w:pPr>
        <w:rPr>
          <w:lang w:val="en-US"/>
        </w:rPr>
      </w:pPr>
      <w:r>
        <w:rPr>
          <w:b/>
          <w:lang w:val="en-US"/>
        </w:rPr>
        <w:t>К1, 2</w:t>
      </w:r>
      <w:r>
        <w:rPr>
          <w:lang w:val="en-US"/>
        </w:rPr>
        <w:t xml:space="preserve"> (2 байта) – защитное переключение мультиплексора</w:t>
      </w:r>
    </w:p>
    <w:p w:rsidR="000B4383" w:rsidRDefault="000B4383">
      <w:pPr>
        <w:rPr>
          <w:lang w:val="en-US"/>
        </w:rPr>
      </w:pPr>
      <w:r>
        <w:rPr>
          <w:lang w:val="en-US"/>
        </w:rPr>
        <w:t xml:space="preserve">D4-D12 – </w:t>
      </w:r>
      <w:r>
        <w:t xml:space="preserve">для передачи управляющей и эксплуатационной информации (только для </w:t>
      </w:r>
      <w:r>
        <w:rPr>
          <w:lang w:val="en-US"/>
        </w:rPr>
        <w:t>STM-1</w:t>
      </w:r>
      <w:r>
        <w:t>)</w:t>
      </w:r>
    </w:p>
    <w:p w:rsidR="000B4383" w:rsidRDefault="000B4383">
      <w:r>
        <w:rPr>
          <w:b/>
          <w:lang w:val="en-US"/>
        </w:rPr>
        <w:t>S1</w:t>
      </w:r>
      <w:r>
        <w:rPr>
          <w:lang w:val="en-US"/>
        </w:rPr>
        <w:t xml:space="preserve"> – </w:t>
      </w:r>
      <w:r>
        <w:t>сообщение о состоянии синхронизации, указывает тип источника синхронизации.</w:t>
      </w:r>
    </w:p>
    <w:p w:rsidR="000B4383" w:rsidRDefault="000B4383">
      <w:r>
        <w:rPr>
          <w:b/>
          <w:lang w:val="en-US"/>
        </w:rPr>
        <w:t>Z1,2</w:t>
      </w:r>
      <w:r>
        <w:rPr>
          <w:lang w:val="en-US"/>
        </w:rPr>
        <w:t xml:space="preserve"> </w:t>
      </w:r>
      <w:r>
        <w:t>– резерв для стандартизации</w:t>
      </w:r>
    </w:p>
    <w:p w:rsidR="000B4383" w:rsidRDefault="000B4383">
      <w:pPr>
        <w:pStyle w:val="a8"/>
      </w:pPr>
      <w:r>
        <w:rPr>
          <w:b/>
        </w:rPr>
        <w:t>М1</w:t>
      </w:r>
      <w:r>
        <w:t xml:space="preserve"> – для передачи информации о зарактеристики ошибки от приемного оборудования мультиплексорной секции к передающему</w:t>
      </w:r>
    </w:p>
    <w:p w:rsidR="000B4383" w:rsidRDefault="000B4383">
      <w:r>
        <w:rPr>
          <w:b/>
        </w:rPr>
        <w:t>Е1</w:t>
      </w:r>
      <w:r>
        <w:t xml:space="preserve"> – служебная связь</w:t>
      </w:r>
    </w:p>
    <w:p w:rsidR="000B4383" w:rsidRDefault="000B4383">
      <w:pPr>
        <w:pStyle w:val="2"/>
        <w:jc w:val="center"/>
      </w:pPr>
      <w:bookmarkStart w:id="13" w:name="_Toc19031640"/>
      <w:r>
        <w:t>Заголовок регенерационной секции</w:t>
      </w:r>
      <w:bookmarkEnd w:id="13"/>
    </w:p>
    <w:p w:rsidR="000B4383" w:rsidRDefault="000B4383">
      <w:r>
        <w:t>Функции:</w:t>
      </w:r>
    </w:p>
    <w:p w:rsidR="000B4383" w:rsidRDefault="000B4383">
      <w:pPr>
        <w:numPr>
          <w:ilvl w:val="0"/>
          <w:numId w:val="44"/>
        </w:numPr>
      </w:pPr>
      <w:r>
        <w:t>Контроль четности</w:t>
      </w:r>
    </w:p>
    <w:p w:rsidR="000B4383" w:rsidRDefault="000B4383">
      <w:pPr>
        <w:numPr>
          <w:ilvl w:val="0"/>
          <w:numId w:val="44"/>
        </w:numPr>
      </w:pPr>
      <w:r>
        <w:t>Цикловая синхронизация</w:t>
      </w:r>
    </w:p>
    <w:p w:rsidR="000B4383" w:rsidRDefault="000B4383">
      <w:pPr>
        <w:numPr>
          <w:ilvl w:val="0"/>
          <w:numId w:val="44"/>
        </w:numPr>
      </w:pPr>
      <w:r>
        <w:t xml:space="preserve">Идентификация </w:t>
      </w:r>
      <w:r>
        <w:rPr>
          <w:lang w:val="en-US"/>
        </w:rPr>
        <w:t>STM-1</w:t>
      </w:r>
    </w:p>
    <w:p w:rsidR="000B4383" w:rsidRDefault="000B4383">
      <w:pPr>
        <w:numPr>
          <w:ilvl w:val="0"/>
          <w:numId w:val="44"/>
        </w:numPr>
      </w:pPr>
      <w:r>
        <w:t>Канал пользователя</w:t>
      </w:r>
    </w:p>
    <w:p w:rsidR="000B4383" w:rsidRDefault="000B4383">
      <w:pPr>
        <w:numPr>
          <w:ilvl w:val="0"/>
          <w:numId w:val="44"/>
        </w:numPr>
      </w:pPr>
      <w:r>
        <w:t>Канал передачи данных</w:t>
      </w:r>
    </w:p>
    <w:p w:rsidR="000B4383" w:rsidRDefault="000B4383">
      <w:pPr>
        <w:numPr>
          <w:ilvl w:val="0"/>
          <w:numId w:val="44"/>
        </w:numPr>
      </w:pPr>
      <w:r>
        <w:t>Служебная связь</w:t>
      </w:r>
    </w:p>
    <w:p w:rsidR="000B4383" w:rsidRDefault="000B4383">
      <w:pPr>
        <w:pStyle w:val="3"/>
        <w:jc w:val="center"/>
      </w:pPr>
      <w:bookmarkStart w:id="14" w:name="_Toc19031641"/>
      <w:r>
        <w:t>Байты заголовка регенерационной секции</w:t>
      </w:r>
      <w:bookmarkEnd w:id="14"/>
    </w:p>
    <w:p w:rsidR="000B4383" w:rsidRDefault="005B2F57">
      <w:pPr>
        <w:pStyle w:val="10"/>
        <w:jc w:val="center"/>
      </w:pPr>
      <w:r>
        <w:pict>
          <v:shape id="_x0000_i1032" type="#_x0000_t75" style="width:255.75pt;height:133.5pt" fillcolor="window">
            <v:imagedata r:id="rId14" o:title="sdh4"/>
          </v:shape>
        </w:pict>
      </w:r>
    </w:p>
    <w:p w:rsidR="000B4383" w:rsidRDefault="000B4383">
      <w:pPr>
        <w:pStyle w:val="a8"/>
      </w:pPr>
      <w:r>
        <w:rPr>
          <w:b/>
        </w:rPr>
        <w:t>А1, А2</w:t>
      </w:r>
      <w:r>
        <w:t xml:space="preserve"> – байты цикловой синхронизации</w:t>
      </w:r>
    </w:p>
    <w:p w:rsidR="000B4383" w:rsidRDefault="000B4383">
      <w:pPr>
        <w:rPr>
          <w:lang w:val="en-US"/>
        </w:rPr>
      </w:pPr>
      <w:r>
        <w:rPr>
          <w:b/>
          <w:lang w:val="en-US"/>
        </w:rPr>
        <w:t>J0</w:t>
      </w:r>
      <w:r>
        <w:rPr>
          <w:lang w:val="en-US"/>
        </w:rPr>
        <w:t xml:space="preserve"> – используется для периодической передачи 16-ти байтового сообщения о трассе регенерационной секции</w:t>
      </w:r>
    </w:p>
    <w:p w:rsidR="000B4383" w:rsidRDefault="000B4383">
      <w:r>
        <w:rPr>
          <w:lang w:val="en-US"/>
        </w:rPr>
        <w:t>В1 –</w:t>
      </w:r>
      <w:r>
        <w:t xml:space="preserve"> контроль четности</w:t>
      </w:r>
      <w:r>
        <w:rPr>
          <w:lang w:val="en-US"/>
        </w:rPr>
        <w:t xml:space="preserve"> </w:t>
      </w:r>
    </w:p>
    <w:p w:rsidR="000B4383" w:rsidRDefault="000B4383">
      <w:pPr>
        <w:rPr>
          <w:lang w:val="en-US"/>
        </w:rPr>
      </w:pPr>
      <w:r>
        <w:rPr>
          <w:lang w:val="en-US"/>
        </w:rPr>
        <w:t>Е1 –  служебная связь</w:t>
      </w:r>
    </w:p>
    <w:p w:rsidR="000B4383" w:rsidRDefault="000B4383">
      <w:pPr>
        <w:rPr>
          <w:lang w:val="en-US"/>
        </w:rPr>
      </w:pPr>
      <w:r>
        <w:rPr>
          <w:lang w:val="en-US"/>
        </w:rPr>
        <w:t>F1 – для нужд оператора</w:t>
      </w:r>
    </w:p>
    <w:p w:rsidR="000B4383" w:rsidRDefault="000B4383">
      <w:pPr>
        <w:rPr>
          <w:lang w:val="en-US"/>
        </w:rPr>
      </w:pPr>
      <w:r>
        <w:rPr>
          <w:lang w:val="en-US"/>
        </w:rPr>
        <w:t>D1,2,3 – управление и обслуживание сети между регенерационной секцией и оконечным оборудованием.</w:t>
      </w:r>
    </w:p>
    <w:p w:rsidR="000B4383" w:rsidRDefault="000B4383">
      <w:pPr>
        <w:pStyle w:val="1"/>
        <w:jc w:val="center"/>
        <w:rPr>
          <w:lang w:val="en-US"/>
        </w:rPr>
      </w:pPr>
      <w:bookmarkStart w:id="15" w:name="_Toc19031642"/>
      <w:r>
        <w:rPr>
          <w:lang w:val="en-US"/>
        </w:rPr>
        <w:t>Анализ полезной нагрузки</w:t>
      </w:r>
      <w:bookmarkEnd w:id="15"/>
    </w:p>
    <w:p w:rsidR="000B4383" w:rsidRDefault="000B4383">
      <w:pPr>
        <w:rPr>
          <w:lang w:val="en-US"/>
        </w:rPr>
      </w:pPr>
      <w:r>
        <w:tab/>
        <w:t xml:space="preserve">Трактовый заголовок всегда находится в первой колонке </w:t>
      </w:r>
      <w:r>
        <w:rPr>
          <w:lang w:val="en-US"/>
        </w:rPr>
        <w:t>VC-4 (добавление его завершает формирование виртуального уонтейнера)</w:t>
      </w:r>
      <w:r>
        <w:t xml:space="preserve">. Остающаяся емкость (контейнер С-4) может быть загружен 63 </w:t>
      </w:r>
      <w:r>
        <w:rPr>
          <w:lang w:val="en-US"/>
        </w:rPr>
        <w:t>TU-12 или 3-мя TU-3</w:t>
      </w:r>
    </w:p>
    <w:p w:rsidR="000B4383" w:rsidRDefault="000B4383">
      <w:pPr>
        <w:pStyle w:val="22"/>
        <w:rPr>
          <w:lang w:val="en-US"/>
        </w:rPr>
      </w:pPr>
      <w:r>
        <w:rPr>
          <w:lang w:val="en-US"/>
        </w:rPr>
        <w:t>VC-4 может нести смесь компонентных каналов, поэтому в одном и том же VC-4 можно передавать вместе с нашими компонентами и североамериканские DS-1.</w:t>
      </w:r>
    </w:p>
    <w:p w:rsidR="000B4383" w:rsidRDefault="000B4383">
      <w:pPr>
        <w:pStyle w:val="22"/>
        <w:rPr>
          <w:lang w:val="en-US"/>
        </w:rPr>
      </w:pPr>
      <w:r>
        <w:rPr>
          <w:lang w:val="en-US"/>
        </w:rPr>
        <w:t>VC-4 предназначен для передачи полезной нашрузки со соростью 149 Мбит/с</w:t>
      </w:r>
    </w:p>
    <w:p w:rsidR="000B4383" w:rsidRDefault="000B4383">
      <w:pPr>
        <w:pStyle w:val="22"/>
        <w:ind w:firstLine="0"/>
      </w:pPr>
      <w:r>
        <w:rPr>
          <w:lang w:val="en-US"/>
        </w:rPr>
        <w:t xml:space="preserve">Цикл STM-1 </w:t>
      </w:r>
      <w:r>
        <w:t>имеет 270 колонок  и 9 рядов, причем 9 колонок ипользуются как заголовок секции, а 1 колонка для трактового заголовка, таким образом, фактическая емкость полезной нагрузки С-4:</w:t>
      </w:r>
    </w:p>
    <w:p w:rsidR="000B4383" w:rsidRDefault="000B4383">
      <w:pPr>
        <w:pStyle w:val="22"/>
        <w:ind w:firstLine="0"/>
      </w:pPr>
      <w:r>
        <w:t>260*9*8*800=149,76 Мбит/с</w:t>
      </w:r>
    </w:p>
    <w:p w:rsidR="000B4383" w:rsidRDefault="000B4383">
      <w:pPr>
        <w:pStyle w:val="1"/>
        <w:jc w:val="center"/>
      </w:pPr>
      <w:bookmarkStart w:id="16" w:name="_Toc19031643"/>
      <w:r>
        <w:t>Указатели полезной нагрузки</w:t>
      </w:r>
      <w:bookmarkEnd w:id="16"/>
    </w:p>
    <w:p w:rsidR="000B4383" w:rsidRDefault="000B4383">
      <w:pPr>
        <w:ind w:firstLine="720"/>
      </w:pPr>
      <w:r>
        <w:rPr>
          <w:lang w:val="en-US"/>
        </w:rPr>
        <w:t>VC-4 может начинатся с любой позиции в пределах области полезной нагрузки. Наиболее часто он нгачинается в одном цикле, а заканчивается в другом. Эта способность VC-4 перемещаться относительно цикла STM</w:t>
      </w:r>
      <w:r>
        <w:t xml:space="preserve"> известна как «плавание».</w:t>
      </w:r>
    </w:p>
    <w:p w:rsidR="000B4383" w:rsidRDefault="000B4383">
      <w:pPr>
        <w:ind w:firstLine="720"/>
        <w:jc w:val="both"/>
        <w:rPr>
          <w:lang w:val="en-US"/>
        </w:rPr>
      </w:pPr>
      <w:r>
        <w:t xml:space="preserve">Байты Н1, Н2 используются для того, чтобы идентифицировать первый байт плавающего </w:t>
      </w:r>
      <w:r>
        <w:rPr>
          <w:lang w:val="en-US"/>
        </w:rPr>
        <w:t>VC-4. С помощью 3-х байт Н3 каждое регулирование перемещает VC-4 на 3 байта (т.е 3 байта относительно цикла STM).</w:t>
      </w:r>
    </w:p>
    <w:p w:rsidR="000B4383" w:rsidRDefault="000B4383">
      <w:pPr>
        <w:ind w:firstLine="720"/>
        <w:jc w:val="both"/>
        <w:rPr>
          <w:lang w:val="en-US"/>
        </w:rPr>
      </w:pPr>
      <w:r>
        <w:t xml:space="preserve">Дело в том, что для борьбы с расхождением генераторов </w:t>
      </w:r>
      <w:r>
        <w:rPr>
          <w:lang w:val="en-US"/>
        </w:rPr>
        <w:t>VC-4 может смещаться в положительную, либо отрицательную сторону на 3 байта.Это достигается изменением значения указателя полезной нагрузки в приемном элементе сети. Процесс также компенсирует любое другое фазовое рассогласование между ринятым SDН сигналом и опорным генератором SDН узла.</w:t>
      </w:r>
    </w:p>
    <w:p w:rsidR="000B4383" w:rsidRDefault="000B4383">
      <w:pPr>
        <w:ind w:firstLine="720"/>
        <w:jc w:val="both"/>
        <w:rPr>
          <w:lang w:val="en-US"/>
        </w:rPr>
      </w:pPr>
      <w:r>
        <w:rPr>
          <w:lang w:val="en-US"/>
        </w:rPr>
        <w:t>Несмотря на положительные стороны, указатели несут в себе и отрицательные моменты, в частности, когда полезная нагрузка плавает на 3 байта, это вызывает скачок на 24 бита. При извлечении полезной нагрузки из SDН</w:t>
      </w:r>
      <w:r>
        <w:t xml:space="preserve">, скачок на 24 бита вызывает джиттер, который в сво. Очередь создает проблемы для </w:t>
      </w:r>
      <w:r>
        <w:rPr>
          <w:lang w:val="en-US"/>
        </w:rPr>
        <w:t>РDН сетей.</w:t>
      </w:r>
    </w:p>
    <w:p w:rsidR="000B4383" w:rsidRDefault="000B4383">
      <w:pPr>
        <w:pStyle w:val="1"/>
        <w:jc w:val="center"/>
      </w:pPr>
      <w:bookmarkStart w:id="17" w:name="_Toc19031644"/>
      <w:r>
        <w:t>Компонентные блоки и структурная схема мультиплексирования сигнала SDH</w:t>
      </w:r>
      <w:bookmarkEnd w:id="17"/>
    </w:p>
    <w:p w:rsidR="000B4383" w:rsidRDefault="005B2F57">
      <w:pPr>
        <w:pStyle w:val="a8"/>
        <w:rPr>
          <w:lang w:val="ru-RU"/>
        </w:rPr>
      </w:pPr>
      <w:r>
        <w:pict>
          <v:shape id="_x0000_i1033" type="#_x0000_t75" style="width:412.5pt;height:147pt" fillcolor="window">
            <v:imagedata r:id="rId15" o:title="30_1копирование"/>
          </v:shape>
        </w:pict>
      </w:r>
    </w:p>
    <w:p w:rsidR="000B4383" w:rsidRDefault="000B4383">
      <w:pPr>
        <w:pStyle w:val="a8"/>
      </w:pPr>
      <w:r>
        <w:t>Рис. 2</w:t>
      </w:r>
    </w:p>
    <w:p w:rsidR="000B4383" w:rsidRDefault="000B4383">
      <w:pPr>
        <w:pStyle w:val="31"/>
      </w:pPr>
      <w:r>
        <w:t>На самом низком уровне мы имеем контейнер С-n, где n варьируется от 1 до 4. Этот базовый элемент сигнала STM (Synchronous Transport Module) представляет собой группу байтов, выделенных для переноса сигналов со скоростями по рекомендации G.702. Другими словами, это то, что мы имеем на входе в SDH-мультиплексор.</w:t>
      </w:r>
    </w:p>
    <w:p w:rsidR="000B4383" w:rsidRDefault="000B4383">
      <w:pPr>
        <w:ind w:firstLine="720"/>
        <w:jc w:val="both"/>
      </w:pPr>
      <w:r>
        <w:t>Данные сигналы преобразуются в так называемые виртуальные контейнеры (VC-n), где n варьируется от 1 до 4. Виртуальные контейнеры низкого порядка формируются из контейнера С-1 или С-2 и дополнительной емкости для трактового заголовка (POH - Раth Overhead). В виртуальные контейнеры высокого порядка (n=3 или n=4) вместо С-n может входить также сборка компонентных блоков (TUG). POH включает в себя информацию для контроля характеристик VC, сигналы для техобслуживания и признаки тревожных ситуаций. В случае VC высокого порядка в POH входят еще и признаки структуры мультиплексирования.</w:t>
      </w:r>
    </w:p>
    <w:p w:rsidR="000B4383" w:rsidRDefault="000B4383">
      <w:pPr>
        <w:pStyle w:val="31"/>
        <w:rPr>
          <w:lang w:val="en-US"/>
        </w:rPr>
      </w:pPr>
      <w:r>
        <w:t>Компонентный блок (TU-n), где n варьируется от 1 до 3, состоит из VC и указателя компонентного блока и обеспечивает сопряжение уровней высокого и низкого порядка. Значение указателя определяет согласование фазы VC с добавленным к нему POH компонентного блока. Группа компонентных блоков (TUG-n), где n=2 или n=3, - это группа идентичных TU или TUG, позволяющая осуществлять смешение полезной нагрузки.</w:t>
      </w:r>
    </w:p>
    <w:p w:rsidR="000B4383" w:rsidRDefault="000B4383">
      <w:pPr>
        <w:pStyle w:val="31"/>
        <w:rPr>
          <w:lang w:val="en-US"/>
        </w:rPr>
      </w:pPr>
      <w:r>
        <w:rPr>
          <w:lang w:val="en-US"/>
        </w:rPr>
        <w:t>Преймущества TU:</w:t>
      </w:r>
    </w:p>
    <w:p w:rsidR="000B4383" w:rsidRDefault="000B4383">
      <w:pPr>
        <w:pStyle w:val="31"/>
        <w:numPr>
          <w:ilvl w:val="0"/>
          <w:numId w:val="45"/>
        </w:numPr>
        <w:tabs>
          <w:tab w:val="clear" w:pos="360"/>
          <w:tab w:val="num" w:pos="1080"/>
        </w:tabs>
        <w:ind w:left="1080"/>
      </w:pPr>
      <w:r>
        <w:rPr>
          <w:lang w:val="en-US"/>
        </w:rPr>
        <w:t xml:space="preserve">Разработан для того, чтобы четко соответствовать </w:t>
      </w:r>
      <w:r>
        <w:t>VC-4</w:t>
      </w:r>
    </w:p>
    <w:p w:rsidR="000B4383" w:rsidRDefault="000B4383">
      <w:pPr>
        <w:pStyle w:val="31"/>
        <w:numPr>
          <w:ilvl w:val="0"/>
          <w:numId w:val="45"/>
        </w:numPr>
        <w:tabs>
          <w:tab w:val="clear" w:pos="360"/>
          <w:tab w:val="num" w:pos="1080"/>
        </w:tabs>
        <w:ind w:left="1080"/>
      </w:pPr>
      <w:r>
        <w:t>Допускает прямой доступ к компонентам более низкого уровня</w:t>
      </w:r>
    </w:p>
    <w:p w:rsidR="000B4383" w:rsidRDefault="000B4383">
      <w:pPr>
        <w:pStyle w:val="31"/>
        <w:numPr>
          <w:ilvl w:val="0"/>
          <w:numId w:val="45"/>
        </w:numPr>
        <w:tabs>
          <w:tab w:val="clear" w:pos="360"/>
          <w:tab w:val="num" w:pos="1080"/>
        </w:tabs>
        <w:ind w:left="1080"/>
      </w:pPr>
      <w:r>
        <w:t>Обеспечивает транспортировку, добавление-выделение и коммутацию с минимальной задержкой</w:t>
      </w:r>
    </w:p>
    <w:p w:rsidR="000B4383" w:rsidRDefault="000B4383">
      <w:pPr>
        <w:pStyle w:val="31"/>
        <w:numPr>
          <w:ilvl w:val="0"/>
          <w:numId w:val="45"/>
        </w:numPr>
        <w:tabs>
          <w:tab w:val="clear" w:pos="360"/>
          <w:tab w:val="num" w:pos="1080"/>
        </w:tabs>
        <w:ind w:left="1080"/>
      </w:pPr>
      <w:r>
        <w:t>Коммутаторы и устройства добавления-выделения не должны демультиплексировать сигналы более высоких уровней, чтобы получить доступ к компонентам более низкого уровня.</w:t>
      </w:r>
    </w:p>
    <w:p w:rsidR="000B4383" w:rsidRDefault="000B4383">
      <w:pPr>
        <w:ind w:firstLine="720"/>
        <w:jc w:val="both"/>
        <w:rPr>
          <w:lang w:val="en-US"/>
        </w:rPr>
      </w:pPr>
      <w:r>
        <w:t>Административный блок (AU-n), где n=3 или n=4, состоит из VC-3 или VC-4 и указателя AU. Он обеспечивает сопряжение путей более высокого порядка и уровня секции с мультиплексированием. Значение указателя определяется согласованием фазы VC-n с кадром STM-1. Группа административных блоков (AUG) - группа AU c чередующимися байтами - занимает фиксированное положение в нагрузке STM-1. Синхронный транспортный модуль (STM-N) содержит n групп AUG c информацией SOH(Section Overhead), касающейся кадрирования, обслуживания и работы. N групп AUG чередуются через один байт и находятся в фиксированном положении по отношению к STM-N.</w:t>
      </w:r>
    </w:p>
    <w:p w:rsidR="000B4383" w:rsidRDefault="000B4383">
      <w:pPr>
        <w:pStyle w:val="1"/>
        <w:jc w:val="center"/>
        <w:rPr>
          <w:lang w:val="en-US"/>
        </w:rPr>
      </w:pPr>
      <w:bookmarkStart w:id="18" w:name="_Toc19031645"/>
      <w:r>
        <w:rPr>
          <w:lang w:val="en-US"/>
        </w:rPr>
        <w:t>Управление сетью</w:t>
      </w:r>
      <w:bookmarkEnd w:id="18"/>
    </w:p>
    <w:p w:rsidR="000B4383" w:rsidRDefault="000B4383">
      <w:pPr>
        <w:jc w:val="both"/>
        <w:rPr>
          <w:lang w:val="en-US"/>
        </w:rPr>
      </w:pPr>
      <w:r>
        <w:tab/>
        <w:t xml:space="preserve">Одним из главным преимуществ </w:t>
      </w:r>
      <w:r>
        <w:rPr>
          <w:lang w:val="en-US"/>
        </w:rPr>
        <w:t xml:space="preserve">SDН является наличие средств обслуживания для управления сетью. Контролируя траффик в элементах сети можно обнаружить и точно указать дефекты и ошибки в сигналах и сетях. </w:t>
      </w:r>
    </w:p>
    <w:p w:rsidR="000B4383" w:rsidRDefault="000B4383">
      <w:pPr>
        <w:ind w:firstLine="720"/>
        <w:jc w:val="both"/>
      </w:pPr>
      <w:r>
        <w:rPr>
          <w:lang w:val="en-US"/>
        </w:rPr>
        <w:t>Характеристика ошибок SDН сети проверяется, используя побитовый контроль четности (BIP)</w:t>
      </w:r>
      <w:r>
        <w:t xml:space="preserve">. Ошибки передачи, обнаруженные </w:t>
      </w:r>
      <w:r>
        <w:rPr>
          <w:lang w:val="en-US"/>
        </w:rPr>
        <w:t>BIP, передаются обратным входящим потоком в исходную точку посредством сигнала индикации ошибки на дальнем конце (REI)</w:t>
      </w:r>
      <w:r>
        <w:t>, или ошибка блока на дальнем конце</w:t>
      </w:r>
      <w:r>
        <w:rPr>
          <w:lang w:val="en-US"/>
        </w:rPr>
        <w:t xml:space="preserve"> FEBE. BIP и связанный с ними REI обеспечиваются на уровне мультиплексных секций, в трактах высокого уровня VC-4</w:t>
      </w:r>
      <w:r>
        <w:t xml:space="preserve"> и трактах низкого уровня </w:t>
      </w:r>
      <w:r>
        <w:rPr>
          <w:lang w:val="en-US"/>
        </w:rPr>
        <w:t>TU</w:t>
      </w:r>
      <w:r>
        <w:t>.</w:t>
      </w:r>
    </w:p>
    <w:p w:rsidR="000B4383" w:rsidRDefault="000B4383">
      <w:pPr>
        <w:ind w:firstLine="720"/>
        <w:jc w:val="both"/>
        <w:rPr>
          <w:lang w:val="en-US"/>
        </w:rPr>
      </w:pPr>
      <w:r>
        <w:t xml:space="preserve">В случае серьезной ошибки (дефекта), а именно, потери сигнала, цикла или указателя, на передающий конец посылается сообщение </w:t>
      </w:r>
      <w:r>
        <w:rPr>
          <w:lang w:val="en-US"/>
        </w:rPr>
        <w:t xml:space="preserve">RDI (Remote Defect Indication – </w:t>
      </w:r>
      <w:r>
        <w:t xml:space="preserve">индикация удаленного дефекта, либо отаз приемника </w:t>
      </w:r>
      <w:r>
        <w:rPr>
          <w:lang w:val="en-US"/>
        </w:rPr>
        <w:t xml:space="preserve">FERF- Faf End Recieve Fail). Исходящий поток элементов сети также приводится в готовность по сигналу </w:t>
      </w:r>
      <w:r>
        <w:t xml:space="preserve">индикации аварии </w:t>
      </w:r>
      <w:r>
        <w:rPr>
          <w:lang w:val="en-US"/>
        </w:rPr>
        <w:t>AIS, посылаемому с исходящим потоком.</w:t>
      </w:r>
    </w:p>
    <w:p w:rsidR="000B4383" w:rsidRDefault="000B4383">
      <w:pPr>
        <w:ind w:firstLine="720"/>
        <w:jc w:val="both"/>
        <w:rPr>
          <w:lang w:val="en-US"/>
        </w:rPr>
      </w:pPr>
      <w:r>
        <w:rPr>
          <w:lang w:val="en-US"/>
        </w:rPr>
        <w:t>SDH сети спроектированы таким образом, что имеют возможность боротся с отказами, используя защитное переключение. Это достигается дублированием линий передачи между элементами сети. В случае глобального отказа, а именно, обрыва линии, элемент сети переключит передачу на дублирующую линию – защита мультиплексорной секции Multiplexer Section Protection (MSP).</w:t>
      </w:r>
    </w:p>
    <w:p w:rsidR="000B4383" w:rsidRDefault="000B4383">
      <w:pPr>
        <w:pStyle w:val="1"/>
        <w:jc w:val="center"/>
      </w:pPr>
      <w:bookmarkStart w:id="19" w:name="_GoBack"/>
      <w:bookmarkEnd w:id="19"/>
    </w:p>
    <w:sectPr w:rsidR="000B4383">
      <w:headerReference w:type="even" r:id="rId16"/>
      <w:headerReference w:type="default" r:id="rId17"/>
      <w:pgSz w:w="11906" w:h="16838" w:code="9"/>
      <w:pgMar w:top="1134" w:right="567" w:bottom="794" w:left="1134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4383" w:rsidRDefault="000B4383">
      <w:r>
        <w:separator/>
      </w:r>
    </w:p>
  </w:endnote>
  <w:endnote w:type="continuationSeparator" w:id="0">
    <w:p w:rsidR="000B4383" w:rsidRDefault="000B43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4383" w:rsidRDefault="000B4383">
      <w:r>
        <w:separator/>
      </w:r>
    </w:p>
  </w:footnote>
  <w:footnote w:type="continuationSeparator" w:id="0">
    <w:p w:rsidR="000B4383" w:rsidRDefault="000B43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4383" w:rsidRDefault="000B4383">
    <w:pPr>
      <w:pStyle w:val="a4"/>
      <w:framePr w:wrap="around" w:vAnchor="text" w:hAnchor="margin" w:xAlign="right" w:y="1"/>
      <w:rPr>
        <w:rStyle w:val="a5"/>
      </w:rPr>
    </w:pPr>
  </w:p>
  <w:p w:rsidR="000B4383" w:rsidRDefault="000B4383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4383" w:rsidRDefault="007F2344">
    <w:pPr>
      <w:pStyle w:val="a4"/>
      <w:framePr w:wrap="around" w:vAnchor="text" w:hAnchor="margin" w:xAlign="right" w:y="1"/>
      <w:rPr>
        <w:rStyle w:val="a5"/>
      </w:rPr>
    </w:pPr>
    <w:r>
      <w:rPr>
        <w:rStyle w:val="a5"/>
        <w:noProof/>
      </w:rPr>
      <w:t>2</w:t>
    </w:r>
  </w:p>
  <w:p w:rsidR="000B4383" w:rsidRDefault="000B4383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4157A7"/>
    <w:multiLevelType w:val="singleLevel"/>
    <w:tmpl w:val="FD72C882"/>
    <w:lvl w:ilvl="0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0A516828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0DE70E4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10CA41AF"/>
    <w:multiLevelType w:val="singleLevel"/>
    <w:tmpl w:val="95EAC5C4"/>
    <w:lvl w:ilvl="0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1DDE08A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1E4C75E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1EF9700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>
    <w:nsid w:val="2AE5456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2E2631E4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9">
    <w:nsid w:val="30253DE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319E442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3780669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>
    <w:nsid w:val="3A3258F2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3">
    <w:nsid w:val="3D680964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4">
    <w:nsid w:val="3F2C4F18"/>
    <w:multiLevelType w:val="singleLevel"/>
    <w:tmpl w:val="0419000F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42377BD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>
    <w:nsid w:val="47FB3BA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>
    <w:nsid w:val="4BFA08B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>
    <w:nsid w:val="4C8E161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>
    <w:nsid w:val="53C7468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0">
    <w:nsid w:val="5A472AA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1">
    <w:nsid w:val="5A650CE0"/>
    <w:multiLevelType w:val="singleLevel"/>
    <w:tmpl w:val="1ECCED92"/>
    <w:lvl w:ilvl="0">
      <w:start w:val="18"/>
      <w:numFmt w:val="upperLetter"/>
      <w:lvlText w:val="%1-"/>
      <w:lvlJc w:val="left"/>
      <w:pPr>
        <w:tabs>
          <w:tab w:val="num" w:pos="1080"/>
        </w:tabs>
        <w:ind w:left="1080" w:hanging="1080"/>
      </w:pPr>
      <w:rPr>
        <w:rFonts w:hint="default"/>
      </w:rPr>
    </w:lvl>
  </w:abstractNum>
  <w:abstractNum w:abstractNumId="22">
    <w:nsid w:val="615D778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65BB7EC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>
    <w:nsid w:val="65C212C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>
    <w:nsid w:val="6AB2721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6">
    <w:nsid w:val="6AD41918"/>
    <w:multiLevelType w:val="singleLevel"/>
    <w:tmpl w:val="0419000F"/>
    <w:lvl w:ilvl="0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>
    <w:nsid w:val="6D2560B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8">
    <w:nsid w:val="6F374D67"/>
    <w:multiLevelType w:val="singleLevel"/>
    <w:tmpl w:val="92A44C08"/>
    <w:lvl w:ilvl="0">
      <w:numFmt w:val="none"/>
      <w:lvlText w:val=""/>
      <w:lvlJc w:val="left"/>
      <w:pPr>
        <w:tabs>
          <w:tab w:val="num" w:pos="360"/>
        </w:tabs>
      </w:pPr>
    </w:lvl>
  </w:abstractNum>
  <w:abstractNum w:abstractNumId="29">
    <w:nsid w:val="73F719A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0">
    <w:nsid w:val="75F4721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1">
    <w:nsid w:val="76BD7C6C"/>
    <w:multiLevelType w:val="singleLevel"/>
    <w:tmpl w:val="6714DF90"/>
    <w:lvl w:ilvl="0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19"/>
  </w:num>
  <w:num w:numId="2">
    <w:abstractNumId w:val="24"/>
  </w:num>
  <w:num w:numId="3">
    <w:abstractNumId w:val="9"/>
  </w:num>
  <w:num w:numId="4">
    <w:abstractNumId w:val="29"/>
  </w:num>
  <w:num w:numId="5">
    <w:abstractNumId w:val="10"/>
  </w:num>
  <w:num w:numId="6">
    <w:abstractNumId w:val="28"/>
  </w:num>
  <w:num w:numId="7">
    <w:abstractNumId w:val="28"/>
  </w:num>
  <w:num w:numId="8">
    <w:abstractNumId w:val="28"/>
  </w:num>
  <w:num w:numId="9">
    <w:abstractNumId w:val="28"/>
  </w:num>
  <w:num w:numId="10">
    <w:abstractNumId w:val="28"/>
  </w:num>
  <w:num w:numId="11">
    <w:abstractNumId w:val="28"/>
  </w:num>
  <w:num w:numId="12">
    <w:abstractNumId w:val="28"/>
  </w:num>
  <w:num w:numId="13">
    <w:abstractNumId w:val="28"/>
  </w:num>
  <w:num w:numId="14">
    <w:abstractNumId w:val="28"/>
  </w:num>
  <w:num w:numId="15">
    <w:abstractNumId w:val="28"/>
  </w:num>
  <w:num w:numId="16">
    <w:abstractNumId w:val="28"/>
  </w:num>
  <w:num w:numId="17">
    <w:abstractNumId w:val="28"/>
  </w:num>
  <w:num w:numId="18">
    <w:abstractNumId w:val="28"/>
  </w:num>
  <w:num w:numId="19">
    <w:abstractNumId w:val="28"/>
  </w:num>
  <w:num w:numId="20">
    <w:abstractNumId w:val="21"/>
  </w:num>
  <w:num w:numId="21">
    <w:abstractNumId w:val="22"/>
  </w:num>
  <w:num w:numId="22">
    <w:abstractNumId w:val="3"/>
  </w:num>
  <w:num w:numId="23">
    <w:abstractNumId w:val="0"/>
  </w:num>
  <w:num w:numId="24">
    <w:abstractNumId w:val="31"/>
  </w:num>
  <w:num w:numId="25">
    <w:abstractNumId w:val="4"/>
  </w:num>
  <w:num w:numId="26">
    <w:abstractNumId w:val="7"/>
  </w:num>
  <w:num w:numId="27">
    <w:abstractNumId w:val="18"/>
  </w:num>
  <w:num w:numId="28">
    <w:abstractNumId w:val="30"/>
  </w:num>
  <w:num w:numId="29">
    <w:abstractNumId w:val="20"/>
  </w:num>
  <w:num w:numId="30">
    <w:abstractNumId w:val="25"/>
  </w:num>
  <w:num w:numId="31">
    <w:abstractNumId w:val="14"/>
  </w:num>
  <w:num w:numId="32">
    <w:abstractNumId w:val="2"/>
  </w:num>
  <w:num w:numId="33">
    <w:abstractNumId w:val="17"/>
  </w:num>
  <w:num w:numId="34">
    <w:abstractNumId w:val="15"/>
  </w:num>
  <w:num w:numId="35">
    <w:abstractNumId w:val="23"/>
  </w:num>
  <w:num w:numId="36">
    <w:abstractNumId w:val="26"/>
  </w:num>
  <w:num w:numId="37">
    <w:abstractNumId w:val="12"/>
  </w:num>
  <w:num w:numId="38">
    <w:abstractNumId w:val="1"/>
  </w:num>
  <w:num w:numId="39">
    <w:abstractNumId w:val="5"/>
  </w:num>
  <w:num w:numId="40">
    <w:abstractNumId w:val="8"/>
  </w:num>
  <w:num w:numId="41">
    <w:abstractNumId w:val="13"/>
  </w:num>
  <w:num w:numId="42">
    <w:abstractNumId w:val="27"/>
  </w:num>
  <w:num w:numId="43">
    <w:abstractNumId w:val="6"/>
  </w:num>
  <w:num w:numId="44">
    <w:abstractNumId w:val="16"/>
  </w:num>
  <w:num w:numId="4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activeWritingStyle w:appName="MSWord" w:lang="ru-RU" w:vendorID="1" w:dllVersion="512" w:checkStyle="1"/>
  <w:activeWritingStyle w:appName="MSWord" w:lang="en-US" w:vendorID="8" w:dllVersion="513" w:checkStyle="1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F2344"/>
    <w:rsid w:val="000B4383"/>
    <w:rsid w:val="005B2F57"/>
    <w:rsid w:val="007F2344"/>
    <w:rsid w:val="00A82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73"/>
    <o:shapelayout v:ext="edit">
      <o:idmap v:ext="edit" data="1"/>
    </o:shapelayout>
  </w:shapeDefaults>
  <w:decimalSymbol w:val=","/>
  <w:listSeparator w:val=";"/>
  <w15:chartTrackingRefBased/>
  <w15:docId w15:val="{DF238356-19E7-4751-987D-3791CAE02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qFormat/>
    <w:pPr>
      <w:keepNext/>
      <w:spacing w:after="60"/>
      <w:outlineLvl w:val="1"/>
    </w:pPr>
    <w:rPr>
      <w:b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rFonts w:ascii="Arial" w:hAnsi="Arial"/>
    </w:rPr>
  </w:style>
  <w:style w:type="paragraph" w:styleId="4">
    <w:name w:val="heading 4"/>
    <w:basedOn w:val="a"/>
    <w:next w:val="a"/>
    <w:qFormat/>
    <w:pPr>
      <w:keepNext/>
      <w:pBdr>
        <w:top w:val="single" w:sz="8" w:space="1" w:color="auto"/>
        <w:left w:val="single" w:sz="8" w:space="1" w:color="auto"/>
        <w:bottom w:val="single" w:sz="8" w:space="1" w:color="auto"/>
        <w:right w:val="single" w:sz="8" w:space="1" w:color="auto"/>
      </w:pBdr>
      <w:outlineLvl w:val="3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semiHidden/>
  </w:style>
  <w:style w:type="paragraph" w:styleId="a4">
    <w:name w:val="header"/>
    <w:basedOn w:val="a"/>
    <w:semiHidden/>
    <w:pPr>
      <w:tabs>
        <w:tab w:val="center" w:pos="4153"/>
        <w:tab w:val="right" w:pos="8306"/>
      </w:tabs>
    </w:pPr>
  </w:style>
  <w:style w:type="character" w:styleId="a5">
    <w:name w:val="page number"/>
    <w:basedOn w:val="a0"/>
    <w:semiHidden/>
  </w:style>
  <w:style w:type="paragraph" w:styleId="a6">
    <w:name w:val="footer"/>
    <w:basedOn w:val="a"/>
    <w:semiHidden/>
    <w:pPr>
      <w:tabs>
        <w:tab w:val="center" w:pos="4153"/>
        <w:tab w:val="right" w:pos="8306"/>
      </w:tabs>
    </w:pPr>
  </w:style>
  <w:style w:type="paragraph" w:styleId="20">
    <w:name w:val="toc 2"/>
    <w:basedOn w:val="a"/>
    <w:next w:val="a"/>
    <w:autoRedefine/>
    <w:semiHidden/>
    <w:pPr>
      <w:ind w:left="240"/>
    </w:pPr>
    <w:rPr>
      <w:smallCaps/>
      <w:sz w:val="20"/>
    </w:rPr>
  </w:style>
  <w:style w:type="paragraph" w:styleId="a7">
    <w:name w:val="table of figures"/>
    <w:basedOn w:val="a"/>
    <w:next w:val="a"/>
    <w:semiHidden/>
    <w:pPr>
      <w:ind w:left="480" w:hanging="480"/>
    </w:pPr>
  </w:style>
  <w:style w:type="paragraph" w:styleId="10">
    <w:name w:val="toc 1"/>
    <w:basedOn w:val="a"/>
    <w:next w:val="a"/>
    <w:autoRedefine/>
    <w:semiHidden/>
    <w:pPr>
      <w:spacing w:before="120" w:after="120"/>
    </w:pPr>
    <w:rPr>
      <w:b/>
      <w:caps/>
      <w:sz w:val="20"/>
    </w:rPr>
  </w:style>
  <w:style w:type="paragraph" w:styleId="30">
    <w:name w:val="toc 3"/>
    <w:basedOn w:val="a"/>
    <w:next w:val="a"/>
    <w:autoRedefine/>
    <w:semiHidden/>
    <w:pPr>
      <w:ind w:left="480"/>
    </w:pPr>
    <w:rPr>
      <w:i/>
      <w:sz w:val="20"/>
    </w:rPr>
  </w:style>
  <w:style w:type="paragraph" w:styleId="40">
    <w:name w:val="toc 4"/>
    <w:basedOn w:val="a"/>
    <w:next w:val="a"/>
    <w:autoRedefine/>
    <w:semiHidden/>
    <w:pPr>
      <w:ind w:left="720"/>
    </w:pPr>
    <w:rPr>
      <w:sz w:val="18"/>
    </w:rPr>
  </w:style>
  <w:style w:type="paragraph" w:styleId="5">
    <w:name w:val="toc 5"/>
    <w:basedOn w:val="a"/>
    <w:next w:val="a"/>
    <w:autoRedefine/>
    <w:semiHidden/>
    <w:pPr>
      <w:ind w:left="960"/>
    </w:pPr>
    <w:rPr>
      <w:sz w:val="18"/>
    </w:rPr>
  </w:style>
  <w:style w:type="paragraph" w:styleId="6">
    <w:name w:val="toc 6"/>
    <w:basedOn w:val="a"/>
    <w:next w:val="a"/>
    <w:autoRedefine/>
    <w:semiHidden/>
    <w:pPr>
      <w:ind w:left="1200"/>
    </w:pPr>
    <w:rPr>
      <w:sz w:val="18"/>
    </w:rPr>
  </w:style>
  <w:style w:type="paragraph" w:styleId="7">
    <w:name w:val="toc 7"/>
    <w:basedOn w:val="a"/>
    <w:next w:val="a"/>
    <w:autoRedefine/>
    <w:semiHidden/>
    <w:pPr>
      <w:ind w:left="1440"/>
    </w:pPr>
    <w:rPr>
      <w:sz w:val="18"/>
    </w:rPr>
  </w:style>
  <w:style w:type="paragraph" w:styleId="8">
    <w:name w:val="toc 8"/>
    <w:basedOn w:val="a"/>
    <w:next w:val="a"/>
    <w:autoRedefine/>
    <w:semiHidden/>
    <w:pPr>
      <w:ind w:left="1680"/>
    </w:pPr>
    <w:rPr>
      <w:sz w:val="18"/>
    </w:rPr>
  </w:style>
  <w:style w:type="paragraph" w:styleId="9">
    <w:name w:val="toc 9"/>
    <w:basedOn w:val="a"/>
    <w:next w:val="a"/>
    <w:autoRedefine/>
    <w:semiHidden/>
    <w:pPr>
      <w:ind w:left="1920"/>
    </w:pPr>
    <w:rPr>
      <w:sz w:val="18"/>
    </w:rPr>
  </w:style>
  <w:style w:type="paragraph" w:customStyle="1" w:styleId="a8">
    <w:name w:val="Рисунок"/>
    <w:basedOn w:val="a9"/>
    <w:autoRedefine/>
    <w:pPr>
      <w:spacing w:before="0" w:after="0"/>
      <w:jc w:val="center"/>
    </w:pPr>
    <w:rPr>
      <w:b w:val="0"/>
      <w:lang w:val="en-US"/>
    </w:rPr>
  </w:style>
  <w:style w:type="paragraph" w:styleId="a9">
    <w:name w:val="caption"/>
    <w:basedOn w:val="a"/>
    <w:next w:val="a"/>
    <w:qFormat/>
    <w:pPr>
      <w:spacing w:before="120" w:after="120"/>
    </w:pPr>
    <w:rPr>
      <w:b/>
    </w:rPr>
  </w:style>
  <w:style w:type="paragraph" w:styleId="aa">
    <w:name w:val="Body Text Indent"/>
    <w:basedOn w:val="a"/>
    <w:semiHidden/>
    <w:pPr>
      <w:ind w:firstLine="360"/>
      <w:jc w:val="both"/>
    </w:pPr>
  </w:style>
  <w:style w:type="paragraph" w:styleId="21">
    <w:name w:val="Body Text 2"/>
    <w:basedOn w:val="a"/>
    <w:semiHidden/>
    <w:pPr>
      <w:jc w:val="both"/>
    </w:pPr>
  </w:style>
  <w:style w:type="paragraph" w:styleId="ab">
    <w:name w:val="Title"/>
    <w:basedOn w:val="a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22">
    <w:name w:val="Body Text Indent 2"/>
    <w:basedOn w:val="a"/>
    <w:semiHidden/>
    <w:pPr>
      <w:ind w:firstLine="720"/>
    </w:pPr>
  </w:style>
  <w:style w:type="paragraph" w:styleId="31">
    <w:name w:val="Body Text Indent 3"/>
    <w:basedOn w:val="a"/>
    <w:semiHidden/>
    <w:pPr>
      <w:ind w:firstLine="720"/>
      <w:jc w:val="both"/>
    </w:pPr>
  </w:style>
  <w:style w:type="paragraph" w:customStyle="1" w:styleId="DefinitionTerm">
    <w:name w:val="Definition Term"/>
    <w:basedOn w:val="a"/>
    <w:next w:val="a"/>
    <w:rPr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3331</Words>
  <Characters>18993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Manager/>
  <Company> </Company>
  <LinksUpToDate>false</LinksUpToDate>
  <CharactersWithSpaces>22280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Черкан</dc:creator>
  <cp:keywords/>
  <cp:lastModifiedBy>admin</cp:lastModifiedBy>
  <cp:revision>2</cp:revision>
  <cp:lastPrinted>2001-12-02T21:11:00Z</cp:lastPrinted>
  <dcterms:created xsi:type="dcterms:W3CDTF">2014-02-09T14:50:00Z</dcterms:created>
  <dcterms:modified xsi:type="dcterms:W3CDTF">2014-02-09T14:50:00Z</dcterms:modified>
  <cp:category>Р-407</cp:category>
</cp:coreProperties>
</file>