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A5FB9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P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5CC4" w:rsidRPr="00955CC4" w:rsidRDefault="00955CC4" w:rsidP="00955CC4">
      <w:pPr>
        <w:spacing w:line="360" w:lineRule="auto"/>
        <w:ind w:firstLine="709"/>
        <w:jc w:val="center"/>
        <w:rPr>
          <w:sz w:val="28"/>
          <w:szCs w:val="90"/>
        </w:rPr>
      </w:pPr>
      <w:r w:rsidRPr="00955CC4">
        <w:rPr>
          <w:sz w:val="28"/>
          <w:szCs w:val="90"/>
        </w:rPr>
        <w:t>Реферат</w:t>
      </w:r>
    </w:p>
    <w:p w:rsidR="00955CC4" w:rsidRP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"</w:t>
      </w:r>
      <w:r w:rsidRPr="00955CC4">
        <w:rPr>
          <w:sz w:val="28"/>
          <w:szCs w:val="40"/>
        </w:rPr>
        <w:t>Общие положения о правовом регулировании бухгалтерского учета и судебной бухгалтерии. Источники правовой бухгалтерии</w:t>
      </w:r>
      <w:r>
        <w:rPr>
          <w:sz w:val="28"/>
          <w:szCs w:val="40"/>
        </w:rPr>
        <w:t>"</w:t>
      </w: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5CC4" w:rsidRPr="00955CC4" w:rsidRDefault="00955CC4" w:rsidP="00955CC4">
      <w:pPr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br w:type="page"/>
      </w:r>
    </w:p>
    <w:p w:rsidR="001A5FB9" w:rsidRP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Содержание</w:t>
      </w:r>
    </w:p>
    <w:p w:rsidR="00955CC4" w:rsidRPr="00955CC4" w:rsidRDefault="00955CC4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5CC4">
        <w:rPr>
          <w:sz w:val="28"/>
          <w:szCs w:val="28"/>
        </w:rPr>
        <w:t>1. Общие положения о правовом регулировании бухгалтерского учета и судебной бухгалтерии</w:t>
      </w:r>
    </w:p>
    <w:p w:rsidR="001A5FB9" w:rsidRPr="00955CC4" w:rsidRDefault="001A5FB9" w:rsidP="00955CC4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5CC4">
        <w:rPr>
          <w:sz w:val="28"/>
          <w:szCs w:val="28"/>
        </w:rPr>
        <w:t>2. Источники правовой бухгалтерии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5CC4" w:rsidRPr="00955CC4" w:rsidRDefault="00955CC4" w:rsidP="00955CC4">
      <w:pPr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br w:type="page"/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1. Общие положения о правовом регулировании</w:t>
      </w:r>
      <w:r w:rsidR="00955CC4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бухгалтерского учета и судебной бухгалтерии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Нормативную базу правовой бухгалтерии составляют источники различной юридической силы: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акты собственно бухучета, облеченные в правовую форму;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нормативы, регулирующие предмет различных отраслей права, взаимодействующих с бухгалтерским учетом, так как в их рамках (пределах) собственно применяются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положения судебной бухгалтерии.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соответствии с действующим законодательством (ст. 3 Закона ? 129-ФЗ) правовую основу бухучета и, следовательно, судебной бухгалтерии, составляет многозвенная,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иерархически выстроенная исходя из юридической силы система источников, распространяющая свое действие на все организации, находящиеся на территории России.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Законодательство России о бухгалтерском учете (в широком смысле) состоит из Закона ? 129-ФЗ, устанавливающего единые правовые и методологические основы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организации и ведения бухгалтерского учета в стране, других федеральных законов, указов Президента и постановлений Правительства РФ.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Основными целями законодательства о бухгалтерском учете являются: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обеспечение единообразного ведения учета имущества, обязательств и хозяйственных операций, осуществляемых организациями;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составление и представление сопоставимой и достоверной информации об имущественном положении организаций и их доходах и расходах, необходимой пользователям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бухгалтерской отчетности (ст. 3 Закона ? 129-ФЗ).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Более широким, чем законодательство, является понятие "нормативные акты о бухгалтерском учете", к которым, помимо законов, относятся акты федеральных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органов государственного управления, исполнительной власти, акты исполнительных органов субъектов Российской Федерации.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Кроме нормативных актов, существуют источники толкования права, к которым относятся разного рода разъяснения, методические рекомендации, ответы на вопросы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т.п. Их особенностью является то, что они могут толковать и разъяснять правоприменителю отдельные законы и подзаконные акты, но не дополнять и уточнять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их. В любом случае при обращении в суд такого рода документы не принимаются при рассмотрении спора по существу.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Нормативные правовые акты федеральных органов исполнительной власти, затрагивающие права, свободы, обязанности человека и гражданина, устанавливающие правовой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статус организаций или имеющие межведомственный характер, прошедшие государственную регистрацию в Минюсте России, подлежат обязательному официальному опубликованию,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Правовые акты федеральных органов исполнительной власти, кроме актов и отдельных их положений, содержащих сведения, составляющие государственную тайну,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или сведения конфиденциального характера, не прошедшие государственную регистрацию, а также зарегистрированные, но не опубликованные в установленном порядке,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не влекут юридических последствий, как не вступившие в силу. Поэтому они не могут служить основанием для регулирования соответствующих правоотношений,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применения санкций к гражданам, должностным лицам и организациям за невыполнение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содержащихся в них предписаний. На указанные акты нельзя ссылаться при разрешении споров.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Нормативные акты федеральных органов исполнительной власти вступают в силу одновременно на всей территории России по истечении десяти дней после дня их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официального опубликования, если самими актами не установлен иной, специальный порядок.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Особый порядок опубликования и вступления в силу имеют нормативные акты Центрального банка России (далее - Банк России), так как последний не относится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к федеральным органам исполнительной власти: они вступают в силу со дня их опубликования в официальном издании Банка России ("Вестнике Банка России"),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за исключением случаев, установленных советом директоров. Нормативные акты Банка России не имеют обратной силы. Акты Банка России, непосредственно затрагивающие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права, свободы или обязанности граждан, должны быть зарегистрированы в Минюсте России в порядке, установленном для регистрации актов федеральных министерств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ведомств</w:t>
      </w:r>
    </w:p>
    <w:p w:rsidR="00FD4295" w:rsidRPr="00955CC4" w:rsidRDefault="00EB5341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4 Закона</w:t>
      </w:r>
      <w:r w:rsidR="00FD4295" w:rsidRPr="00955CC4">
        <w:rPr>
          <w:sz w:val="28"/>
          <w:szCs w:val="28"/>
        </w:rPr>
        <w:t xml:space="preserve"> 129-ФЗ определяет, что законодательство о бухгалтерском учете распространяется на все организации, находящиеся на территории Российской</w:t>
      </w:r>
      <w:r w:rsidR="00741D2D"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Федерации, а также на филиалы и представительства иностранных организаций, если иное не предусмотрено международными договорами России. Граждане, осуществляющие</w:t>
      </w:r>
      <w:r w:rsidR="00741D2D"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предпринимательскую деятельность без образования юридического лица, ведут учет доходов и расходов в порядке, установленном налоговым отечественным законодательством.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Любая организация, занятая предпринимательской деятельностью и зарегистрированная в установленном порядке, отвечающая требованиям, закрепленным в ст. 48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Гражданского кодекса РФ, является юридическим лицом и таким образом подпадает под действие законодательства о бухучете.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В соответствии с п. 1.3 Инструкции Госналогслужбы России от 16.06.95 г. 34 "О налогообложении прибыли и доходов иностранных юридических лиц" (в ред. </w:t>
      </w:r>
      <w:r w:rsidR="00741D2D" w:rsidRPr="00955CC4">
        <w:rPr>
          <w:sz w:val="28"/>
          <w:szCs w:val="28"/>
        </w:rPr>
        <w:t>о</w:t>
      </w:r>
      <w:r w:rsidRPr="00955CC4">
        <w:rPr>
          <w:sz w:val="28"/>
          <w:szCs w:val="28"/>
        </w:rPr>
        <w:t>т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07.04.2000 г.)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под иностранными юридическими лицами понимаются компании, фирмы, любые другие организации, образованные в соответствии с законодательством иностранных государств,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а также иностранные юридические лица - члены объединений (ассоциаций, консорциумов и других групп компаний), не являющихся юридическими лицами. При проверке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статуса иностранного юридического лица необходимо также учитывать положения ст. 1202 Гражданского кодекса РФ.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Под постоянным представительством иностранного юридического лица в Российской Федерации понимаются филиал, отделение, бюро, контора, агентство, любое другое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постоянное место регулярного осуществления деятельности, связанной с разработкой природных ресурсов, проведением предусмотренных контрактами работ по строительству,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установке, монтажу, сборке, наладке, обслуживанию оборудования, эксплуатацией игровых автоматов, продажей продукции с расположенных на территории РФ 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принадлежащих иностранному юридическому лицу или арендуемых им складов, оказанием услуг и осуществлением иных видов деятельности по извлечению дохода на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территории России или за границей, а также организации и физические лица, уполномоченные иностранными юридическими лицами осуществлять представительские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функции в Российской Федерации.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Представительства иностранных юридических лиц в Российской Федерации ведут регистры бухгалтерского учета: журналы, Главные книги, оборотные ведомости, кассовые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книги и др., как самостоятельные хозяйствующие субъекты.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соответствии со ст. 4 Закона ? 129-ФЗ граждане, осуществляющие предпринимательскую деятельность без образования юридического лица, выведены из-под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действия законодательства о бухучете и обязаны вести учет доходов и расходов в порядке, установленном налоговым законодательством России. Федеральным законом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от 29.12.95г. ? 222-ФЗ "Об упрощенной системе налогообложения, учета и отчетности для субъектов малого предпринимательства" (в ред. от 31.12.2001 г., далее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- Закон ? 222-ФЗ)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установлено, что применение упрощенной системы индивидуальными предпринимателями предусматривает замену уплаты установленного законодательством подоходного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налога на доход, полученный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от осуществляемой предпринимательской деятельности, уплатой стоимости патента на занятие данной деятельностью.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Для индивидуальных предпринимателей, применяющих указанную упрощенную систему, сохраняется действующий порядок ведения кассовых операций и представления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необходимой статистической отчетности.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Официальный документ, удостоверяющий право применения упрощенной системы, выдается сроком на один календарный год налоговыми органами по месту постановки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индивидуальных предпринимателей на налоговый учет.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Патент выдается налоговыми органами на основе письменного заявления индивидуального предпринимателя, подаваемого не позднее чем за один месяц до начала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очередного квартала.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Во исполнение закона ? 222-ФЗ Минфин России Приказом от 22.02.96 г. ? 18 "О форме книги учета доходов и расходов и порядке отражения в ней хозяйственных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операций субъектами малого предпринимательства, применяющими упрощенную систему налогообложения, учета и отчетности" утвердил соответствующие нормативы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(образцы формы Книги учета доходов и расходов и Порядок отражения в ней хозяйственных операций субъектами малого предпринимательства, применяющими упрощенную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систему налогообложения, учета и отчетности).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Госналогслужба России Приказом от 24.01.96 г. ? ВГ-3-02/5 "Об утверждении форм документов, необходимых для применения упрощенной системы налогообложения,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учета и отчетности субъектами малого предпринимательства" утвердила формы патентов на право применения упрощенной системы налогообложения, учета и отчетности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субъектами малого предпринимательства (организациями и индивидуальными предпринимателями) и других документов, необходимых для реализации Закона ? 222-ФЗ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Общее методологическое и, следовательно, нормативное руководство бухгалтерским учетом в России осуществляется Правительством РФ (ст. 5 Закона ? 129-ФЗ).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Правительство РФ является органом исполнительной власти Российской Федерации. Это коллегиальный орган, возглавляющий систему органов государственного управления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обеспечивающий их согласованную деятельность. В пределах своих полномочий Правительство РФ: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осуществляет управление экономическими и социально-культурными процессами, создает условия для свободного предпринимательства на основе рационального сочетания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всех форм собственности, демонополизации экономики, реализации правового механизма рыночной экономики;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обеспечивает в соответствии с законами и указами Президента РФ нормативное регулирование и руководство органами исполнительной власти по защите прав собственности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на всей территории России.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Органы, которым федеральными законами предоставлено право регулирования бухгалтерского учета, руководствуясь законодательством Российской Федерации,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разрабатывают и утверждают в пределах своей компетенции обязательные для исполнения всеми организациями на территории страны: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а) планы счетов бухгалтерского учета и инструкции по их применению;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б) положения (стандарты) по бухгалтерскому учету, устанавливающие принципы, правила и способы ведения организациями учета хозяйственных операций, составления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представления бухгалтерской отчетности;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в) другие нормативные акты и методические указания по вопросам бухучета.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планах счетов бухгалтерского учета, других нормативных актах и методических указаниях должна предусматриваться упрощенная система бухучета для субъектов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малого предпринимательства.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Нормативные акты и методические указания по бухучету, издаваемые органами, которым федеральными законами предоставлено право регулирования бухучета, не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должны противоречить нормативным актам и методическим указаниям Минфина России.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Организации, руководствуясь законодательством страны о бухучете, нормативными актами органов, регулирующих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бухгалтерский учет, самостоятельно формируют свою учетную политику, исходя из своей структуры, отрасли и других особенностей деятельности.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соответствии с Постановлением Правительства РФ Минфин России: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осуществляет методическое руководство бухгалтерским учетом и отчетностью предприятий, учреждений и организаций независимо от их организационно-правовых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форм и подчиненности и принимает меры по его совершенствованию;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утверждает план счетов, типовые формы бухгалтерского учета и отчетности; инструкции по их применению и порядку составления отчетности; осуществляет руководство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работой по переоценке товарно-материальных ценностей;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устанавливает порядок ведения бухгалтерского учета и составления отчетности об исполнении федерального бюджета, смет расходов бюджетных учреждений и организаций;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устанавливает формы учета и отчетности по кассовому исполнению федерального бюджета, бюджетов субъектов Федерации.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Минфин России издает в пределах своей компетенции на основе и во исполнение законодательства Российской Федерации приказы и инструкции и дает указания,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являющиеся обязательными для исполнения федеральными органами исполнительной власти, а также предприятиями, учреждениями и организациями независимо от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их организационно-правовых форм и подчиненности и гражданами.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Минфин России издает в необходимых случаях совместно с другими федеральными органами исполнительной власти ведомственные нормативные акты.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Кроме положений по бухгалтерскому учету, в России действует более 800 других нормативных актов и методических указаний по бухгалтерскому учету.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соответствии с законодательством за Минфином России закреплено право согласования с иными органами, которым федеральными законами предоставлено право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регулирования бухучета, их нормативных актов и методических рекомендаций. К таким органам относятся Минэкономики, МНС, Минсвязи, Госкомстат, Банк России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др.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 специфике бухгалтерского учета собственно в банковской сфере свидетельствуют более 100 нормативных актов в том числе, например: План счетов бухгалтерского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учета в кредитных организациях Российской Федерации (в ред. от 26.12.2001 г.); Положение "О порядке формирования кредитными организациями резервов на возможные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потери", утв. ЦБ РФ от 12.04.2001 г. ? 137-П.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Согласно Федеральному закону от 31.07.98 г. ? 148-ФЗ с момента введения единого налога на вмененный доход законодательными (представительными) органами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государственной власти субъектов РФ настоящий Федеральный закон применяется в части, не противоречащей Закону ? 222-ФЗ. О порядке применения настоящего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Федерального закона см. также: Приказ Минфина России от 15.03.96 г. ? 27; Письмо Госналогслужбы России от 06.02.96 г. ? НП-6-02/77; Письмо Госналогслужбы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России от 03.10.96 г. ? 02-01-17; Порядок учета доходов и расходов и хозяйственных операций для индивидуальных предпринимателей (Приказ Минфина и МНС России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от 21.03.2001 г. ? 24н/БГ-3-08/ 419).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2. Источники правовой бухгалтерии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С учетом рассмотренных общих положений далее следует классифицировать многочисленные источники судебной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бухгалтерии, исходя из основного и значимого для практики критерия - их юридической силы.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Первый уровень нормативных источников составляет федеральное отечественное законодательство. Этот самый высокий по юридической силе уровень представлен,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к примеру, следующими актами: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Федеральный закон "О бухгалтерском учете", устанавливающий единые правовые и методологические основы организации и ведения бухгалтерского учета в Российской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Федерации;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Федеральный Конституционный Закон "О Правительстве Российской Федерации" от 17.12.97 г. ? 2-ФКЗ (в ред. от 31.12.97 г.);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федеральные кодифицированные акты процессуальных отраслей права (УПК, ГПК, АПК, КоАП РФ);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иные федеральные законы комплексного и смежного характера, например: "О Счетной Палате Российской Федерации"; "Об упрощенной системе налогообложения, учета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отчетности для субъектов малого предпринимательства"; "Об акционерных обществах" (с изм. от 07.08.2001 г., вступившими в силу с 1 января 2002 г.), Гражданский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кодекс, Бюджетный кодекс, Налоговый кодекс РФ и др.;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из относительно новых источников высшего по юридической силе уровня следует назвать Федеральные законы: от 07.08.2001 г. ?119-ФЗ "Об аудиторской деятельности"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(в ред. от 14.12.2001 г.); от 31.05.2001 г. ? 73-ФЗ "О государственной судебно-экспертной деятельности в Российской федерации"; от 08.08.2001 г. ? 134-ФЗ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"О защите прав юридических лиц индивидуальных предпринимателей при проведении государственного контроля (надзора)"; Закон РФ от 07.05.98 г. ? 75-ФЗ "О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негосударственных пенсионных фондах" (в ред. от 12.02.2001 г.); Федеральный закон от 02.12.90 г. ? 394-1 (в ред. от 06.08.2001 г.) "О Центральном банке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Российской Федерации (Банке России)"; Федеральный закон от 18.12.2001 г. ? 177-ФЗ,"О введении в действие Уголовно-процессуального кодекса Российской Федерации"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 др.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Второй уровень нормативных источников образуют акты высших федеральных органов государственной (исполнительной) власти, к которым принадлежат указы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Президента, постановления Правительства РФ.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В соответствии со ст. 5 Закона ? 129-ФЗ общее методическое руководство бухучетом осуществляется именно Правительством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РФ, которое на практике эту функцию осуществляет в основном через Минфин России.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Примерами нормативных источников второго уровня являются: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Указ Президента РФ ? 2004 "Об уточнении сроков проведения мероприятий по регулированию аудиторской деятельности в Российской Федерации";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Распоряжение Президента РФ ? 54-рп "Об организации работы Комиссии по аудиторской деятельности при Президенте Российской Федерации" (с изм. и доп. от 1994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г.);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Постановление Правительства РФ от 12.02.93 г. ? 121 "О мерах по реализации Государственной программы перехода Российской Федерации на принятую в международной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практике систему учета и статистики в соответствии с требованиями развития рыночной экономики";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Постановление Правительства РФ от 07.11.97 г. ? 1404 "Об утверждении Положения о Межведомственной комиссии по реформированию бухгалтерского учета и финансовой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отчетности";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Постановление Правительства РФ от 06.03.98 г. ? 273 "Об утверждении Положения о Министерстве финансов Российской Федерации";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Указ Президента РФ от 22.12.93 г. ? 2263 о временных правилах аудиторской деятельности утратил свою силу.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Постановлением Правительства РФ от 06.02.2002 г. ? 80 "О вопросах государственного регулирования аудиторской деятельности в Российской Федерации" признаны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утратившими силу прежде действовавшие акты Правительства РФ в области аудита (1994-1995 гг.) и утверждены Правила обмена квалификационных аттестатов аудиторов.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Третий уровень нормативных источников судебной бухгалтерии представляют акты федеральных органов исполнительной власти, нормативы, принимаемые на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основе законодательства министерствами, ведомствами для обязательного применения на территории страны всеми организациями и гражданами.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При этом приказы и методические указания по бухгалтерскому учету рассматриваемого уровня не должны противоречить нормативам ведущего в этой сфере органа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исполнительной власти - специально уполномоченного органа - Минфина России(ст. 5 Закона ? 129-ФЗ).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К основным нормативным актам третьего уровня, являющимся, по существу, "настольными книгами" бухгалтеров относятся: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России от 29.07.98 г. ? 34н (в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ред. от 24.03.2000 г.);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План счетов бухгалтерского учета финансово-хозяйственной деятельности организаций и Инструкция по его применению, утвержденные Приказом Минфина России от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31.10.2000 г. ?94н и введенные в действие с 1 января 2001 г.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Источниками информации о бухгалтерском учете и правовой бухгалтерии также являются официальные разъяснения, инструкции и указания, включая руководящие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разъяснения Высшего арбитражного и Верховного судов страны, имеющие определенную юридическую силу и обязательные для правоприменителя.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Примерами актов четвертого уровня являются:</w:t>
      </w:r>
    </w:p>
    <w:p w:rsidR="00741D2D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Приказ Минфина России от 28.06.2000 г. ? 60н "О Методических рекомендациях о порядке формирования показателей бухгалтерской отчетности организации";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Письмо ЦБ РФ от 10.07.2001 г. ? 87-Т "О рекомендациях Базельского комитета по банковскому надзору";</w:t>
      </w:r>
    </w:p>
    <w:p w:rsid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Письмо УМНС России по г. Москве от 19.04.2001 г. ? 03-12/18215 "Об экономическом показателе, используемом при нормировании расходов на рекламу предприятиями,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осуществляющими торговую деятельность";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Отдельного рассмотрения заслуживают источники международного характера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Ряд из них носит обязательный, а некоторые - лишь рекомендательный характер, что необходимо учитывать в практической деятельности: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а) в соответствии с Конституцией отечественное законодательство учитывает международные договоры, нормы международного права. Провозглашается, что если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международным договором (пактом, конвенцией) установлены иные нормативы, чем предусмотренные Российским законодательством, то применяются правила международных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договоров.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Российская Федерация является участником большинства международных договоров о правах и свободах человека (в том числе в финансово-экономической и юридической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сферах). К числу таких нормативных источников (и прикосновенных к ним актов) можно отнести: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Федеральный закон от 14.06.94 г. ? 5-ФЗ "О порядке опубликования и вступлении в силу федеральных конституционных законов, федеральных законов, актов палат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Федерального собрания" (в ред. от 22.10.99 г.);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Федеральный закон от 15.07.95 г. ? 101-ФЗ "О международных договорах Российской Федерации";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Конвенция о правовой помощи и правовых отношениях по гражданским, семейным и уголовным делам (Минск, 22.01.93 г.);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Конвенция относительно защиты заработной платы (Женева, 01.07.49 г., ? 95);</w:t>
      </w:r>
    </w:p>
    <w:p w:rsid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Европейская конвенция о защите прав человека и основных свобод (Рим, 04.11.50 г.) с девятью протоколами;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Источниками не нормативного, а учебного, консультативного свойства являются комментарии законодательства, методические рекомендации профессионалов.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Их не следует путать с официальными методическими указаниями и разъяснениями нормативного характера.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Примерами учебно-консультативных источников этого уровня служат следующие издания: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Комментарий к Федеральному закону "О бухгалтерском учете" с</w:t>
      </w:r>
      <w:r w:rsidRPr="00955CC4">
        <w:rPr>
          <w:sz w:val="28"/>
          <w:szCs w:val="28"/>
        </w:rPr>
        <w:t xml:space="preserve"> постатейными материалами</w:t>
      </w:r>
      <w:r w:rsidR="00FD4295" w:rsidRPr="00955CC4">
        <w:rPr>
          <w:sz w:val="28"/>
          <w:szCs w:val="28"/>
        </w:rPr>
        <w:t>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Профессиональное суждение бухгалтера: итоги минувшего века (Я.В. Соколов, Т.О. Терентьева, "Бухгалтерский учет", 2001, ? 12);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Комментарии к новому Плану счетов бухгалтерского учета под ред. руководителя Департамента методологии бухгалтерского учета и отчетности Минфина России А.С.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Бакаева (М.: ИПБ-БИНФА, 2001);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Нельзя не упомянуть о десятках решений (постановлений и определений) Конституционного суда РФ по вопросам процессуальной деятельности, бухгалтерского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учета и аудита, имеющим юридическое значение. Такие решения могут существенно корректировать действующее законодательство и потому также относятся к числу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источников правовой бухгалтерии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Итак, источники правовой бухгалтерии в зависимости от основного критерия систематизации - их содержания и юридической силы - условно можно сгруппировать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следующим образом: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федеральные законы, определяющие концепцию бухучета и судебной бухгалтерии на уровне доктрины;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детализирующая первый уровень подзаконная нормативная база высших федеральных органов исполнительной власти (общесистемная и частная);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ведомственные и межведомственные нормативные акты;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методические рекомендации, руководящие разъяснения, толкования ведомственного, судебного (официального) характера;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источники международно-правового характера: конвенционно-договорные (обязательные) и декларативно-рекомендательные;</w:t>
      </w:r>
    </w:p>
    <w:p w:rsidR="00FD4295" w:rsidRPr="00955CC4" w:rsidRDefault="00741D2D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 xml:space="preserve">- </w:t>
      </w:r>
      <w:r w:rsidR="00FD4295" w:rsidRPr="00955CC4">
        <w:rPr>
          <w:sz w:val="28"/>
          <w:szCs w:val="28"/>
        </w:rPr>
        <w:t>неофициальные источники: профессиональные рекомендации, комментарии, толкования, содержащиеся в работах научно-популярного, учебного, вспомогательного характера</w:t>
      </w:r>
      <w:r w:rsidRPr="00955CC4">
        <w:rPr>
          <w:sz w:val="28"/>
          <w:szCs w:val="28"/>
        </w:rPr>
        <w:t xml:space="preserve"> </w:t>
      </w:r>
      <w:r w:rsidR="00FD4295" w:rsidRPr="00955CC4">
        <w:rPr>
          <w:sz w:val="28"/>
          <w:szCs w:val="28"/>
        </w:rPr>
        <w:t>и не обладающие нормативной силой.</w:t>
      </w:r>
    </w:p>
    <w:p w:rsidR="00FD4295" w:rsidRPr="00955CC4" w:rsidRDefault="00FD4295" w:rsidP="00955CC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5CC4">
        <w:rPr>
          <w:sz w:val="28"/>
          <w:szCs w:val="28"/>
        </w:rPr>
        <w:t>С учетом того, что любая классификация является относительной и условной, возможны и иные группировки, способы</w:t>
      </w:r>
      <w:r w:rsidR="00741D2D" w:rsidRPr="00955CC4">
        <w:rPr>
          <w:sz w:val="28"/>
          <w:szCs w:val="28"/>
        </w:rPr>
        <w:t xml:space="preserve"> </w:t>
      </w:r>
      <w:r w:rsidRPr="00955CC4">
        <w:rPr>
          <w:sz w:val="28"/>
          <w:szCs w:val="28"/>
        </w:rPr>
        <w:t>систематизации источников бухучета и судебной бухгалтерии исходя из иных содержательных и формальных системообразующих критериев.</w:t>
      </w:r>
    </w:p>
    <w:p w:rsidR="002B4AA1" w:rsidRPr="00955CC4" w:rsidRDefault="002B4AA1" w:rsidP="00955CC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B4AA1" w:rsidRPr="00955CC4" w:rsidSect="00955C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B4" w:rsidRDefault="003923B4" w:rsidP="00FD4295">
      <w:r>
        <w:separator/>
      </w:r>
    </w:p>
  </w:endnote>
  <w:endnote w:type="continuationSeparator" w:id="0">
    <w:p w:rsidR="003923B4" w:rsidRDefault="003923B4" w:rsidP="00FD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B4" w:rsidRDefault="003923B4" w:rsidP="00FD4295">
      <w:r>
        <w:separator/>
      </w:r>
    </w:p>
  </w:footnote>
  <w:footnote w:type="continuationSeparator" w:id="0">
    <w:p w:rsidR="003923B4" w:rsidRDefault="003923B4" w:rsidP="00FD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95"/>
    <w:rsid w:val="000557EA"/>
    <w:rsid w:val="000975EA"/>
    <w:rsid w:val="001A5FB9"/>
    <w:rsid w:val="002B4AA1"/>
    <w:rsid w:val="003923B4"/>
    <w:rsid w:val="007316C0"/>
    <w:rsid w:val="00741D2D"/>
    <w:rsid w:val="00854244"/>
    <w:rsid w:val="008F13BE"/>
    <w:rsid w:val="00934536"/>
    <w:rsid w:val="00955CC4"/>
    <w:rsid w:val="00A1075A"/>
    <w:rsid w:val="00B85650"/>
    <w:rsid w:val="00CF0E2F"/>
    <w:rsid w:val="00EB5341"/>
    <w:rsid w:val="00FA0FD0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B0E3C2-2F79-456F-835B-86D5FB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95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D4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D429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FD429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D42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FD429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1A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A5FB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1A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A5FB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1A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2014-03-06T13:28:00Z</dcterms:created>
  <dcterms:modified xsi:type="dcterms:W3CDTF">2014-03-06T13:28:00Z</dcterms:modified>
</cp:coreProperties>
</file>