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906" w:rsidRPr="002A7102" w:rsidRDefault="003328A8" w:rsidP="003328A8">
      <w:pPr>
        <w:spacing w:line="360" w:lineRule="auto"/>
        <w:ind w:firstLine="709"/>
        <w:jc w:val="both"/>
        <w:rPr>
          <w:noProof/>
          <w:color w:val="000000"/>
          <w:sz w:val="28"/>
          <w:szCs w:val="32"/>
        </w:rPr>
      </w:pPr>
      <w:r w:rsidRPr="002A7102">
        <w:rPr>
          <w:noProof/>
          <w:color w:val="000000"/>
          <w:sz w:val="28"/>
          <w:szCs w:val="32"/>
        </w:rPr>
        <w:t>Подсудность</w:t>
      </w:r>
    </w:p>
    <w:p w:rsidR="00DD4906" w:rsidRPr="002A7102" w:rsidRDefault="00DD4906" w:rsidP="003328A8">
      <w:pPr>
        <w:spacing w:line="360" w:lineRule="auto"/>
        <w:ind w:firstLine="709"/>
        <w:jc w:val="both"/>
        <w:rPr>
          <w:noProof/>
          <w:color w:val="000000"/>
          <w:sz w:val="28"/>
          <w:szCs w:val="32"/>
        </w:rPr>
      </w:pP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Подсу́дность — распределение дел, подлежащих рассмотрению по первой инстанции, между судами — установление конкретного суда, который должен рассмотреть данное дело. Подсудность включает как компетентность, или власть, принадлежащую тому или другому суду постановить решение по делу, так и соответствующую этой власти обязанность заинтересованных лиц подчиняться данному компетентному суду.</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Общие принципы подсудности заключаются в следующем:</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 xml:space="preserve">Учреждение, наделённое судебной властью, не должно принимать к своему рассмотрению судебных дел, подведомственных юрисдикции другого учреждения. </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 xml:space="preserve">Решение, постановленное некомпетентным учреждением, считается недействительным. </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 xml:space="preserve">Стороны вправе просить об устранении некомпетентного учреждения от решения данного дела: он имеет право возражения или отвода. </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 xml:space="preserve">Подсудность определяется положением, в котором находятся обстоятельства дела ко времени предъявления иска. Последующие изменения (например оставление ответчиком своего домицилиума) не имеют значения. Отсюда общее начало: где дело началось, там оно должно быть и окончено. </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Подсудность, как правило, имеет территориальный характер: она распространяется только на определенные местности в государстве, территория которого разделяется на судебные округа. Суды, находящиеся в этих округах являются компетентными только для дел, возникающих в пределах данной территории. Исключение составляет высший суд государства, например, Верховный суд РФ, распространяющий свою деятельность на все государство).</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В основании распределения различных дел по категориям судов лежат два признака:</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 xml:space="preserve">Род дела. Это объективная подсудность, основывающаяся на соображениях публичного права. </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 xml:space="preserve">Личные отношения, в которых стоят друг к другу тяжущиеся стороны. Это подсудность личная, или относительная, основанная на соображениях личных удобств тяжущихся лиц и определяемая началом места жительства, места исполнения договора и т. д. </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Подсудность по роду дел не может быть изменена никакими соглашениями сторон, личная же подсудность может быть изменена не только посредством договора, но и молчаливым подчинением юрисдикции данного суда. Подсудность по роду дел определяется самим судом независимо от указания сторон; по отношению же к личной подсудности суд не входит сам в рассмотрение вопроса, и только заинтересованное лицо может возбудить спор о неподсудности.</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Кроме различия по роду дел между судами общей юрисдикции и специальными судами, существует различие по роду дел между судами первой и второй инстанции и между федеральными и мировыми судами</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Определяющим принципом личной подсудности (ее называют также относительной или территориальной) является, по общему правилу, местожительство ответчика. У древнейших народов, живших особняком на своей территории, подсудность определялась местом рождения или происхождения ответчика. С развитием общественного быта, с передвижением экономических сил к древнему началу подсудности присоединилось начало местожительства. Эти два основания подсудности приняты были в римском праве; оба они часто совпадали; каждый гражданин подчинен был юрисдикции городского (общинного) и провинциального магистрата. С рецепцией римского права в Германии принцип происхождения утратил свое первоначальное значение и преобладать стал принцип местожительства.</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Кроме общей подсудности, законодательства допускают еще особые основания подсудности для некоторых дел, подлежащих, в виде изъятия из общего правила, ведению не того суда, в округе которого ответчик имеет жительство или пребывание. Эта подсудность носит или безусловный обязательный характер, или элективный (т. е. истцу предоставляется право выбора между общею и специальной подсудностью).</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Безусловный характер носит подсудность по месту нахождения недвижимого имущества: иски о праве собственности и о всяком ином вещном праве на недвижимость, об имущественных сервитутах, о поземельных повинностях и т. п. должны быть предъявляемы по месту нахождения последнего. Споры, возникающие из вещных правоотношений, гораздо целесообразнее и легче решать в том месте, где находится спорный предмет, когда требуется, напр., осмотр местности, поверка границ, дознание через окольных людей и т. п.</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Элективная особенная подсудность может допускаться, например, по искам по исполнению договора. Здесь подсудность определяется по месту исполнения договора. Кроме того, элективная подсудность может иметь место по искам, вытекающим из уголовного правонарушения. Гражданский иск может быть соединен с уголовным делом, и тогда он рассматривается в суде по месту совершения преступления; но если такой иск предъявлен особо, то подсудность его определяется по общим правилам.</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К особым (специальным) основаниям подсудности относят также место нахождения филиала или представительства юридического лица (ответчика), связь между самыми делами, как внутренняя, так и внешняя, например, в случае подачи встречного иска; место открытия наследства, т. е. место нахождения наследственного имущества.</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Кроме указанных видов законной подсудности гражданских дел, существует договорная подсудность. Тяжущимся предоставляется право отступать от правил о законной подсудности и обращаться с просьбою о разборе дела к выбранному ими суду. Стороны могут, совершая договор, заранее определить тот суд, которому спор их должен быть подсуден.</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Подсудность уголовных дел - это совокупность специальных признаков, по которым конкретное уголовное дело подлежит рассмотрению тем, либо иным судом в соответствии с его компетенцией.</w:t>
      </w:r>
    </w:p>
    <w:p w:rsidR="00DD4906" w:rsidRPr="002A7102" w:rsidRDefault="00DD4906" w:rsidP="003328A8">
      <w:pPr>
        <w:spacing w:line="360" w:lineRule="auto"/>
        <w:ind w:firstLine="709"/>
        <w:jc w:val="both"/>
        <w:rPr>
          <w:noProof/>
          <w:color w:val="000000"/>
          <w:sz w:val="28"/>
          <w:szCs w:val="32"/>
        </w:rPr>
      </w:pPr>
    </w:p>
    <w:p w:rsidR="00DD4906" w:rsidRPr="002A7102" w:rsidRDefault="00F5764B" w:rsidP="003328A8">
      <w:pPr>
        <w:spacing w:line="360" w:lineRule="auto"/>
        <w:ind w:firstLine="709"/>
        <w:jc w:val="both"/>
        <w:rPr>
          <w:noProof/>
          <w:color w:val="000000"/>
          <w:sz w:val="28"/>
          <w:szCs w:val="32"/>
        </w:rPr>
      </w:pPr>
      <w:r>
        <w:rPr>
          <w:noProof/>
          <w:color w:val="000000"/>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239.25pt">
            <v:imagedata r:id="rId6" o:title=""/>
          </v:shape>
        </w:pict>
      </w:r>
    </w:p>
    <w:p w:rsidR="00DD4906" w:rsidRPr="002A7102" w:rsidRDefault="00DD4906" w:rsidP="003328A8">
      <w:pPr>
        <w:spacing w:line="360" w:lineRule="auto"/>
        <w:ind w:firstLine="709"/>
        <w:jc w:val="both"/>
        <w:rPr>
          <w:noProof/>
          <w:color w:val="000000"/>
          <w:sz w:val="28"/>
          <w:szCs w:val="32"/>
        </w:rPr>
      </w:pP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К таким признакам можно отнести тяжесть совершенного преступления, территорию, на которой оно совершено, заявленные сторонами ходатайства о рассмотрении конкретного дела конкретным судом и т.д.</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В уголовном судопроизводстве различают три вида подсудности:</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1) родовая (предметная);</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2) территориальная;</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3) персональная.</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 xml:space="preserve">Ниже мы рассмотрим указанные виды подсудности </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1. Родовая подсудность</w:t>
      </w:r>
      <w:r w:rsidR="003328A8" w:rsidRPr="002A7102">
        <w:rPr>
          <w:noProof/>
          <w:color w:val="000000"/>
          <w:sz w:val="28"/>
          <w:szCs w:val="32"/>
        </w:rPr>
        <w:t xml:space="preserve"> </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Родовая подсудность (предметная) - означает отнесение уголовного дела к ведению того или иного звена судебной системы, в зависимости от вида совершенного преступления.</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Правила о подсудности направлены на достижение наиболее быстрого и эффективного рассмотрения уголовного дела в суде, избегая при этом волокиты и необоснованных издержек. Таким образом, каждой категории судов подсудна определенная совокупность уголовных дел, отнесенная к их подсудности УПК РФ.</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Статья 47 Конституции РФ указывает на то, что «никто не может быть лишен права на рассмотрение его дела в том суде и тем судьей, к подсудности которых оно отнесено законом».</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 xml:space="preserve">Подсудность уголовных дел по родовому (предметному признаку) определена законодателем в ст. 31 УПК РФ, из ее содержания следует, что мировому судье подсудны уголовные дела о преступлениях, максимальное наказание за совершение которых не превышает трех лет лишения свободы, кроме уголовных дел о преступлениях, перечисленных в ч. 1 ст. 31 УПК РФ. </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Районному суду подсудны уголовные дела о всех преступлениях за исключением дел, подсудных мировым судьям, верховным судам республики, областным, городских федерального значения, автономных образований, а также Верховному суду РФ.</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Верховному суду республики, краевому или областному суду, суду города федерального значения, суду автономной области и суду автономного округа подсудны наиболее сложные уголовные дела, рассмотрение которых предъявляет к судьям повышенные требования (квалификация, опыт работы и т.д.). Это, например, уголовные дела о таких преступлениях, как убийство при отягчающих обстоятельствах, терроризм, бандитизм, преступления против государственной власти, против мира и безопасности человечества и т.д. Преступления, уголовные дела о которых подсудны данному звену судов, перечислены в п. 1 ч. 3 ст. 31 УПК РФ. Кроме указанных уголовных дел, данным звеном суда рассматриваются уголовные дела, переданные в эти суды в соответствии с их подсудностью (ст. 34 УПК) в связи с изменением подсудности дела (ст. 35 УПК), а также уголовные дела, в материалах которых содержатся сведения, составляющие государственную тайну.</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Верховному Суду Российской Федерации подсудны уголовные дела, указанные в ст. 452 УПК РФ, а также уголовные дела особой сложности, которые он вправе принять к своему производству по инициативе Генерального прокурора Российской Федерации и при наличии ходатайства обвиняемого.</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Районный суд и военный суд соответствующего уровня принимает решения в ходе досудебного производства по уголовным делам, указанным в ч. 2 и 3 ст. 29 УПК РФ (об избрании меры пресечения в виде содержания под стражей, о производстве обыска в жилище, о прослушивании телефонных и иных переговоров и т.д.; а также при рассмотрении жалоб в порядке ст. 125 УПК).</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Важным моментом является положение статьи 33 УПК о том, что в случае обвинения одного лица или группы лиц в совершении нескольких преступлений, уголовные дела о которых подсудны судам разных уровней, уголовное дело о всех преступлениях рассматривается вышестоящим судом (т.е. если хоть один эпизод квалифицирован статьей УК, подсудность дел о совершении которых отнесена законодателем к подсудности областного суда, все дело подлежит рассмотрению в суде областного уровня).</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Подсудность гражданского иска (независимо от его размера), вытекающего из уголовного дела, всегда определяется подсудностью уголовного дела, в котором он предъявлен</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2. Территориальная подсудность</w:t>
      </w:r>
      <w:r w:rsidR="003328A8" w:rsidRPr="002A7102">
        <w:rPr>
          <w:noProof/>
          <w:color w:val="000000"/>
          <w:sz w:val="28"/>
          <w:szCs w:val="32"/>
        </w:rPr>
        <w:t xml:space="preserve"> </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 xml:space="preserve">Территориальная (местная) подсудность разграничивает компетенцию между однородными судами, т.е. различными судами одного и того же звена судебной системы. </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Территориальная подсудность уголовных дел определена законодателем в ст. 32 УПК РФ, согласно ей:</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1) уголовное дело подлежит рассмотрению в суде по месту совершения преступления, за исключением случаев изменения территориальной подсудности уголовных дел в случаях, когда удовлетворяется отвод одной из сторон судебного заседания всему составу соответствующего суда; а также по ходатайству стороны либо по инициативе председателя суда, в который поступило уголовное дело, если все судьи данного суда ранее принимали участие в производстве по рассматриваемому уголовному делу, что является основанием для их отвода в соответствии со ст. 63 УПК РФ, либо не все участники уголовного судопроизводства по данному уголовному делу проживают на территории, на которую распространяется юрисдикция данного суда, при условии, что все обвиняемые согласны на изменение территориальной подсудности данного уголовного дела. Изменение территориальной подсудности уголовного дела допускается лишь до начала судебного разбирательства (ст. 35 УПК). Вопрос об изменении территориальной подсудности уголовного дела при удовлетворении ходатайства об отводе всего состава суда разрешается председателем вышестоящего суда или его заместителем, о чем выносится постановление;</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2) если преступление было начато в месте деятельности одного суда, а окончено в месте деятельности другого суда, уголовное дело о таком преступлении подсудно суду по месту окончания расследования;</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3) если преступления совершены в разных местах, то по решению вышестоящего суда уголовное дело рассматривается тем судом, в месте деятельности которого совершено большинство расследованных по данному уголовному делу преступлений или совершены наиболее тяжкие из них.</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2. Территориальная подсудность</w:t>
      </w:r>
      <w:r w:rsidR="003328A8" w:rsidRPr="002A7102">
        <w:rPr>
          <w:noProof/>
          <w:color w:val="000000"/>
          <w:sz w:val="28"/>
          <w:szCs w:val="32"/>
        </w:rPr>
        <w:t xml:space="preserve"> </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 xml:space="preserve">Территориальная (местная) подсудность разграничивает компетенцию между однородными судами, т.е. различными судами одного и того же звена судебной системы. </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Территориальная подсудность уголовных дел определена законодателем в ст. 32 УПК РФ, согласно ей:</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1) уголовное дело подлежит рассмотрению в суде по месту совершения преступления, за исключением случаев изменения территориальной подсудности уголовных дел в случаях, когда удовлетворяется отвод одной из сторон судебного заседания всему составу соответствующего суда; а также по ходатайству стороны либо по инициативе председателя суда, в который поступило уголовное дело, если все судьи данного суда ранее принимали участие в производстве по рассматриваемому уголовному делу, что является основанием для их отвода в соответствии со ст. 63 УПК РФ, либо не все участники уголовного судопроизводства по данному уголовному делу проживают на территории, на которую распространяется юрисдикция данного суда, при условии, что все обвиняемые согласны на изменение территориальной подсудности данного уголовного дела. Изменение территориальной подсудности уголовного дела допускается лишь до начала судебного разбирательства (ст. 35 УПК). Вопрос об изменении территориальной подсудности уголовного дела при удовлетворении ходатайства об отводе всего состава суда разрешается председателем вышестоящего суда или его заместителем, о чем выносится постановление;</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2) если преступление было начато в месте деятельности одного суда, а окончено в месте деятельности другого суда, уголовное дело о таком преступлении подсудно суду по месту окончания расследования;</w:t>
      </w:r>
    </w:p>
    <w:p w:rsidR="00DD4906" w:rsidRPr="002A7102" w:rsidRDefault="00DD4906" w:rsidP="003328A8">
      <w:pPr>
        <w:spacing w:line="360" w:lineRule="auto"/>
        <w:ind w:firstLine="709"/>
        <w:jc w:val="both"/>
        <w:rPr>
          <w:noProof/>
          <w:color w:val="000000"/>
          <w:sz w:val="28"/>
          <w:szCs w:val="32"/>
        </w:rPr>
      </w:pPr>
      <w:r w:rsidRPr="002A7102">
        <w:rPr>
          <w:noProof/>
          <w:color w:val="000000"/>
          <w:sz w:val="28"/>
          <w:szCs w:val="32"/>
        </w:rPr>
        <w:t>3) если преступления совершены в разных местах, то по решению вышестоящего суда уголовное дело рассматривается тем судом, в месте деятельности которого совершено большинство расследованных по данному уголовному делу преступлений или совершены наиболее тяжкие из них.</w:t>
      </w:r>
      <w:bookmarkStart w:id="0" w:name="_GoBack"/>
      <w:bookmarkEnd w:id="0"/>
    </w:p>
    <w:sectPr w:rsidR="00DD4906" w:rsidRPr="002A7102" w:rsidSect="003328A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3BF" w:rsidRDefault="004D23BF" w:rsidP="003328A8">
      <w:r>
        <w:separator/>
      </w:r>
    </w:p>
  </w:endnote>
  <w:endnote w:type="continuationSeparator" w:id="0">
    <w:p w:rsidR="004D23BF" w:rsidRDefault="004D23BF" w:rsidP="0033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3BF" w:rsidRDefault="004D23BF" w:rsidP="003328A8">
      <w:r>
        <w:separator/>
      </w:r>
    </w:p>
  </w:footnote>
  <w:footnote w:type="continuationSeparator" w:id="0">
    <w:p w:rsidR="004D23BF" w:rsidRDefault="004D23BF" w:rsidP="00332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906"/>
    <w:rsid w:val="000F7221"/>
    <w:rsid w:val="002A7102"/>
    <w:rsid w:val="003328A8"/>
    <w:rsid w:val="00417566"/>
    <w:rsid w:val="00466F53"/>
    <w:rsid w:val="004D23BF"/>
    <w:rsid w:val="004D6832"/>
    <w:rsid w:val="00DD4906"/>
    <w:rsid w:val="00E4500D"/>
    <w:rsid w:val="00F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C310A28-E5F9-4371-B756-76A5D2EE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28A8"/>
    <w:pPr>
      <w:tabs>
        <w:tab w:val="center" w:pos="4677"/>
        <w:tab w:val="right" w:pos="9355"/>
      </w:tabs>
    </w:pPr>
  </w:style>
  <w:style w:type="character" w:customStyle="1" w:styleId="a4">
    <w:name w:val="Верхний колонтитул Знак"/>
    <w:link w:val="a3"/>
    <w:uiPriority w:val="99"/>
    <w:locked/>
    <w:rsid w:val="003328A8"/>
    <w:rPr>
      <w:rFonts w:cs="Times New Roman"/>
      <w:sz w:val="24"/>
      <w:szCs w:val="24"/>
    </w:rPr>
  </w:style>
  <w:style w:type="paragraph" w:styleId="a5">
    <w:name w:val="footer"/>
    <w:basedOn w:val="a"/>
    <w:link w:val="a6"/>
    <w:uiPriority w:val="99"/>
    <w:rsid w:val="003328A8"/>
    <w:pPr>
      <w:tabs>
        <w:tab w:val="center" w:pos="4677"/>
        <w:tab w:val="right" w:pos="9355"/>
      </w:tabs>
    </w:pPr>
  </w:style>
  <w:style w:type="character" w:customStyle="1" w:styleId="a6">
    <w:name w:val="Нижний колонтитул Знак"/>
    <w:link w:val="a5"/>
    <w:uiPriority w:val="99"/>
    <w:locked/>
    <w:rsid w:val="003328A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581885">
      <w:marLeft w:val="0"/>
      <w:marRight w:val="0"/>
      <w:marTop w:val="0"/>
      <w:marBottom w:val="0"/>
      <w:divBdr>
        <w:top w:val="none" w:sz="0" w:space="0" w:color="auto"/>
        <w:left w:val="none" w:sz="0" w:space="0" w:color="auto"/>
        <w:bottom w:val="none" w:sz="0" w:space="0" w:color="auto"/>
        <w:right w:val="none" w:sz="0" w:space="0" w:color="auto"/>
      </w:divBdr>
      <w:divsChild>
        <w:div w:id="554581903">
          <w:marLeft w:val="0"/>
          <w:marRight w:val="0"/>
          <w:marTop w:val="0"/>
          <w:marBottom w:val="0"/>
          <w:divBdr>
            <w:top w:val="none" w:sz="0" w:space="0" w:color="auto"/>
            <w:left w:val="none" w:sz="0" w:space="0" w:color="auto"/>
            <w:bottom w:val="none" w:sz="0" w:space="0" w:color="auto"/>
            <w:right w:val="none" w:sz="0" w:space="0" w:color="auto"/>
          </w:divBdr>
          <w:divsChild>
            <w:div w:id="554581894">
              <w:marLeft w:val="0"/>
              <w:marRight w:val="0"/>
              <w:marTop w:val="0"/>
              <w:marBottom w:val="0"/>
              <w:divBdr>
                <w:top w:val="none" w:sz="0" w:space="0" w:color="auto"/>
                <w:left w:val="none" w:sz="0" w:space="0" w:color="auto"/>
                <w:bottom w:val="none" w:sz="0" w:space="0" w:color="auto"/>
                <w:right w:val="none" w:sz="0" w:space="0" w:color="auto"/>
              </w:divBdr>
              <w:divsChild>
                <w:div w:id="554581889">
                  <w:marLeft w:val="0"/>
                  <w:marRight w:val="0"/>
                  <w:marTop w:val="0"/>
                  <w:marBottom w:val="0"/>
                  <w:divBdr>
                    <w:top w:val="none" w:sz="0" w:space="0" w:color="auto"/>
                    <w:left w:val="none" w:sz="0" w:space="0" w:color="auto"/>
                    <w:bottom w:val="none" w:sz="0" w:space="0" w:color="auto"/>
                    <w:right w:val="none" w:sz="0" w:space="0" w:color="auto"/>
                  </w:divBdr>
                  <w:divsChild>
                    <w:div w:id="5545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81890">
      <w:marLeft w:val="0"/>
      <w:marRight w:val="0"/>
      <w:marTop w:val="0"/>
      <w:marBottom w:val="0"/>
      <w:divBdr>
        <w:top w:val="none" w:sz="0" w:space="0" w:color="auto"/>
        <w:left w:val="none" w:sz="0" w:space="0" w:color="auto"/>
        <w:bottom w:val="none" w:sz="0" w:space="0" w:color="auto"/>
        <w:right w:val="none" w:sz="0" w:space="0" w:color="auto"/>
      </w:divBdr>
      <w:divsChild>
        <w:div w:id="554581895">
          <w:marLeft w:val="0"/>
          <w:marRight w:val="0"/>
          <w:marTop w:val="0"/>
          <w:marBottom w:val="0"/>
          <w:divBdr>
            <w:top w:val="none" w:sz="0" w:space="0" w:color="auto"/>
            <w:left w:val="none" w:sz="0" w:space="0" w:color="auto"/>
            <w:bottom w:val="none" w:sz="0" w:space="0" w:color="auto"/>
            <w:right w:val="none" w:sz="0" w:space="0" w:color="auto"/>
          </w:divBdr>
        </w:div>
      </w:divsChild>
    </w:div>
    <w:div w:id="554581896">
      <w:marLeft w:val="0"/>
      <w:marRight w:val="0"/>
      <w:marTop w:val="0"/>
      <w:marBottom w:val="0"/>
      <w:divBdr>
        <w:top w:val="none" w:sz="0" w:space="0" w:color="auto"/>
        <w:left w:val="none" w:sz="0" w:space="0" w:color="auto"/>
        <w:bottom w:val="none" w:sz="0" w:space="0" w:color="auto"/>
        <w:right w:val="none" w:sz="0" w:space="0" w:color="auto"/>
      </w:divBdr>
      <w:divsChild>
        <w:div w:id="554581886">
          <w:marLeft w:val="0"/>
          <w:marRight w:val="0"/>
          <w:marTop w:val="0"/>
          <w:marBottom w:val="0"/>
          <w:divBdr>
            <w:top w:val="none" w:sz="0" w:space="0" w:color="auto"/>
            <w:left w:val="none" w:sz="0" w:space="0" w:color="auto"/>
            <w:bottom w:val="none" w:sz="0" w:space="0" w:color="auto"/>
            <w:right w:val="none" w:sz="0" w:space="0" w:color="auto"/>
          </w:divBdr>
        </w:div>
      </w:divsChild>
    </w:div>
    <w:div w:id="554581897">
      <w:marLeft w:val="0"/>
      <w:marRight w:val="0"/>
      <w:marTop w:val="0"/>
      <w:marBottom w:val="0"/>
      <w:divBdr>
        <w:top w:val="none" w:sz="0" w:space="0" w:color="auto"/>
        <w:left w:val="none" w:sz="0" w:space="0" w:color="auto"/>
        <w:bottom w:val="none" w:sz="0" w:space="0" w:color="auto"/>
        <w:right w:val="none" w:sz="0" w:space="0" w:color="auto"/>
      </w:divBdr>
      <w:divsChild>
        <w:div w:id="554581887">
          <w:marLeft w:val="0"/>
          <w:marRight w:val="0"/>
          <w:marTop w:val="0"/>
          <w:marBottom w:val="0"/>
          <w:divBdr>
            <w:top w:val="none" w:sz="0" w:space="0" w:color="auto"/>
            <w:left w:val="none" w:sz="0" w:space="0" w:color="auto"/>
            <w:bottom w:val="none" w:sz="0" w:space="0" w:color="auto"/>
            <w:right w:val="none" w:sz="0" w:space="0" w:color="auto"/>
          </w:divBdr>
          <w:divsChild>
            <w:div w:id="554581884">
              <w:marLeft w:val="0"/>
              <w:marRight w:val="0"/>
              <w:marTop w:val="0"/>
              <w:marBottom w:val="0"/>
              <w:divBdr>
                <w:top w:val="none" w:sz="0" w:space="0" w:color="auto"/>
                <w:left w:val="none" w:sz="0" w:space="0" w:color="auto"/>
                <w:bottom w:val="none" w:sz="0" w:space="0" w:color="auto"/>
                <w:right w:val="none" w:sz="0" w:space="0" w:color="auto"/>
              </w:divBdr>
              <w:divsChild>
                <w:div w:id="554581888">
                  <w:marLeft w:val="0"/>
                  <w:marRight w:val="0"/>
                  <w:marTop w:val="0"/>
                  <w:marBottom w:val="0"/>
                  <w:divBdr>
                    <w:top w:val="none" w:sz="0" w:space="0" w:color="auto"/>
                    <w:left w:val="none" w:sz="0" w:space="0" w:color="auto"/>
                    <w:bottom w:val="none" w:sz="0" w:space="0" w:color="auto"/>
                    <w:right w:val="none" w:sz="0" w:space="0" w:color="auto"/>
                  </w:divBdr>
                  <w:divsChild>
                    <w:div w:id="5545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81901">
      <w:marLeft w:val="0"/>
      <w:marRight w:val="0"/>
      <w:marTop w:val="0"/>
      <w:marBottom w:val="0"/>
      <w:divBdr>
        <w:top w:val="none" w:sz="0" w:space="0" w:color="auto"/>
        <w:left w:val="none" w:sz="0" w:space="0" w:color="auto"/>
        <w:bottom w:val="none" w:sz="0" w:space="0" w:color="auto"/>
        <w:right w:val="none" w:sz="0" w:space="0" w:color="auto"/>
      </w:divBdr>
      <w:divsChild>
        <w:div w:id="554581907">
          <w:marLeft w:val="0"/>
          <w:marRight w:val="0"/>
          <w:marTop w:val="0"/>
          <w:marBottom w:val="0"/>
          <w:divBdr>
            <w:top w:val="none" w:sz="0" w:space="0" w:color="auto"/>
            <w:left w:val="none" w:sz="0" w:space="0" w:color="auto"/>
            <w:bottom w:val="none" w:sz="0" w:space="0" w:color="auto"/>
            <w:right w:val="none" w:sz="0" w:space="0" w:color="auto"/>
          </w:divBdr>
        </w:div>
      </w:divsChild>
    </w:div>
    <w:div w:id="554581902">
      <w:marLeft w:val="0"/>
      <w:marRight w:val="0"/>
      <w:marTop w:val="0"/>
      <w:marBottom w:val="0"/>
      <w:divBdr>
        <w:top w:val="none" w:sz="0" w:space="0" w:color="auto"/>
        <w:left w:val="none" w:sz="0" w:space="0" w:color="auto"/>
        <w:bottom w:val="none" w:sz="0" w:space="0" w:color="auto"/>
        <w:right w:val="none" w:sz="0" w:space="0" w:color="auto"/>
      </w:divBdr>
      <w:divsChild>
        <w:div w:id="554581891">
          <w:marLeft w:val="0"/>
          <w:marRight w:val="0"/>
          <w:marTop w:val="0"/>
          <w:marBottom w:val="0"/>
          <w:divBdr>
            <w:top w:val="none" w:sz="0" w:space="0" w:color="auto"/>
            <w:left w:val="none" w:sz="0" w:space="0" w:color="auto"/>
            <w:bottom w:val="none" w:sz="0" w:space="0" w:color="auto"/>
            <w:right w:val="none" w:sz="0" w:space="0" w:color="auto"/>
          </w:divBdr>
        </w:div>
      </w:divsChild>
    </w:div>
    <w:div w:id="554581904">
      <w:marLeft w:val="0"/>
      <w:marRight w:val="0"/>
      <w:marTop w:val="0"/>
      <w:marBottom w:val="0"/>
      <w:divBdr>
        <w:top w:val="none" w:sz="0" w:space="0" w:color="auto"/>
        <w:left w:val="none" w:sz="0" w:space="0" w:color="auto"/>
        <w:bottom w:val="none" w:sz="0" w:space="0" w:color="auto"/>
        <w:right w:val="none" w:sz="0" w:space="0" w:color="auto"/>
      </w:divBdr>
      <w:divsChild>
        <w:div w:id="554581893">
          <w:marLeft w:val="0"/>
          <w:marRight w:val="0"/>
          <w:marTop w:val="0"/>
          <w:marBottom w:val="0"/>
          <w:divBdr>
            <w:top w:val="none" w:sz="0" w:space="0" w:color="auto"/>
            <w:left w:val="none" w:sz="0" w:space="0" w:color="auto"/>
            <w:bottom w:val="none" w:sz="0" w:space="0" w:color="auto"/>
            <w:right w:val="none" w:sz="0" w:space="0" w:color="auto"/>
          </w:divBdr>
          <w:divsChild>
            <w:div w:id="554581899">
              <w:marLeft w:val="0"/>
              <w:marRight w:val="0"/>
              <w:marTop w:val="0"/>
              <w:marBottom w:val="0"/>
              <w:divBdr>
                <w:top w:val="none" w:sz="0" w:space="0" w:color="auto"/>
                <w:left w:val="none" w:sz="0" w:space="0" w:color="auto"/>
                <w:bottom w:val="none" w:sz="0" w:space="0" w:color="auto"/>
                <w:right w:val="none" w:sz="0" w:space="0" w:color="auto"/>
              </w:divBdr>
              <w:divsChild>
                <w:div w:id="554581900">
                  <w:marLeft w:val="0"/>
                  <w:marRight w:val="0"/>
                  <w:marTop w:val="0"/>
                  <w:marBottom w:val="0"/>
                  <w:divBdr>
                    <w:top w:val="none" w:sz="0" w:space="0" w:color="auto"/>
                    <w:left w:val="none" w:sz="0" w:space="0" w:color="auto"/>
                    <w:bottom w:val="none" w:sz="0" w:space="0" w:color="auto"/>
                    <w:right w:val="none" w:sz="0" w:space="0" w:color="auto"/>
                  </w:divBdr>
                  <w:divsChild>
                    <w:div w:id="5545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81905">
      <w:marLeft w:val="0"/>
      <w:marRight w:val="0"/>
      <w:marTop w:val="0"/>
      <w:marBottom w:val="0"/>
      <w:divBdr>
        <w:top w:val="none" w:sz="0" w:space="0" w:color="auto"/>
        <w:left w:val="none" w:sz="0" w:space="0" w:color="auto"/>
        <w:bottom w:val="none" w:sz="0" w:space="0" w:color="auto"/>
        <w:right w:val="none" w:sz="0" w:space="0" w:color="auto"/>
      </w:divBdr>
      <w:divsChild>
        <w:div w:id="55458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1948</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ПОДСУДНОСТЬ  </vt:lpstr>
    </vt:vector>
  </TitlesOfParts>
  <Company>NhT</Company>
  <LinksUpToDate>false</LinksUpToDate>
  <CharactersWithSpaces>13026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ПОДСУДНОСТЬ  </dc:title>
  <dc:subject/>
  <dc:creator>UserXP</dc:creator>
  <cp:keywords/>
  <dc:description/>
  <cp:lastModifiedBy>admin</cp:lastModifiedBy>
  <cp:revision>2</cp:revision>
  <dcterms:created xsi:type="dcterms:W3CDTF">2014-03-06T13:29:00Z</dcterms:created>
  <dcterms:modified xsi:type="dcterms:W3CDTF">2014-03-06T13:29:00Z</dcterms:modified>
</cp:coreProperties>
</file>