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6" w:rsidRPr="00B043A6" w:rsidRDefault="00DC4A5A" w:rsidP="00B043A6">
      <w:pPr>
        <w:pStyle w:val="2"/>
      </w:pPr>
      <w:r w:rsidRPr="00B043A6">
        <w:t>ОБЩИЕ ТРЕБОВАНИЕ К СОСУДАМ,</w:t>
      </w:r>
      <w:r w:rsidR="00B043A6">
        <w:t xml:space="preserve"> </w:t>
      </w:r>
      <w:r w:rsidRPr="00B043A6">
        <w:t>РАБОТАЮЩИМ ПОД ДАВЛЕНИЕМ</w:t>
      </w:r>
    </w:p>
    <w:p w:rsidR="00B043A6" w:rsidRDefault="00B043A6" w:rsidP="00B043A6">
      <w:pPr>
        <w:widowControl w:val="0"/>
        <w:autoSpaceDE w:val="0"/>
        <w:autoSpaceDN w:val="0"/>
        <w:adjustRightInd w:val="0"/>
        <w:ind w:firstLine="709"/>
      </w:pP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К сосудам, работающим под давлением, относятся герметично закрытые емкости, которые предназначены для осуществления химических и тепловых процессов, а также для хранения и перевозки сжатых, сжиженных газов и жидкостей</w:t>
      </w:r>
      <w:r w:rsidR="00B043A6" w:rsidRPr="00B043A6">
        <w:t xml:space="preserve">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Основные требования к устройству, монтажу, ремонту и эксплуатации сосудов, работающих под давлением, изложены в ДНАОП 0</w:t>
      </w:r>
      <w:r w:rsidR="00B043A6">
        <w:t>.0</w:t>
      </w:r>
      <w:r w:rsidRPr="00B043A6">
        <w:t>0-1</w:t>
      </w:r>
      <w:r w:rsidR="00B043A6">
        <w:t>.0</w:t>
      </w:r>
      <w:r w:rsidRPr="00B043A6">
        <w:t xml:space="preserve">7-94 </w:t>
      </w:r>
      <w:r w:rsidR="00B043A6" w:rsidRPr="00B043A6">
        <w:t>"</w:t>
      </w:r>
      <w:r w:rsidRPr="00B043A6">
        <w:t>Правила устройства и безопасной эксплуатации сосудов, работающих под давлением</w:t>
      </w:r>
      <w:r w:rsidR="00B043A6" w:rsidRPr="00B043A6">
        <w:t xml:space="preserve">". </w:t>
      </w:r>
      <w:r w:rsidRPr="00B043A6">
        <w:t>Эти правила распространяются на</w:t>
      </w:r>
      <w:r w:rsidR="00B043A6" w:rsidRPr="00B043A6">
        <w:t xml:space="preserve">: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сосуды, которые работают под давлением воды с температурой выше 115оС или с другой жидкостью с температурой, которая превышает температуру кипения при давлении 0,07 МПа (0,7 кгс/см2</w:t>
      </w:r>
      <w:r w:rsidR="00B043A6" w:rsidRPr="00B043A6">
        <w:t>),</w:t>
      </w:r>
      <w:r w:rsidRPr="00B043A6">
        <w:t xml:space="preserve"> без учета гидростатического давления</w:t>
      </w:r>
      <w:r w:rsidR="00B043A6" w:rsidRPr="00B043A6"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сосуды, которые работают под давлением пара или газа выше 0,07МПа</w:t>
      </w:r>
      <w:r w:rsidR="00B043A6" w:rsidRPr="00B043A6"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баллоны, предназначенные для транспортировки и хранения сжиженных и сжатых газов под давлением выше 0,07МПа</w:t>
      </w:r>
      <w:r w:rsidR="00B043A6" w:rsidRPr="00B043A6"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цистерны и бочки для транспортировки и хранения сжиженных газов, давление газов в которых, при нагревании до 50 оС, превышает давление 0,07МПа</w:t>
      </w:r>
      <w:r w:rsidR="00B043A6" w:rsidRPr="00B043A6"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цистерны и сосуды для транспортировки и хранения сжиженных и сжатых газов, жидкостей и сыпучих тел, в которых давление</w:t>
      </w:r>
      <w:r w:rsidR="00B043A6" w:rsidRPr="00B043A6">
        <w:t xml:space="preserve"> </w:t>
      </w:r>
      <w:r w:rsidRPr="00B043A6">
        <w:t>выше 0,07МПа, открываемых периодически для их опустошения</w:t>
      </w:r>
      <w:r w:rsidR="00B043A6" w:rsidRPr="00B043A6">
        <w:t xml:space="preserve">; </w:t>
      </w: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барокамеры</w:t>
      </w:r>
      <w:r w:rsidR="00B043A6" w:rsidRPr="00B043A6">
        <w:t xml:space="preserve">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Правила устройства и безопасной эксплуатации сосудов, работающих под давлением не распространяются на</w:t>
      </w:r>
      <w:r w:rsidR="00B043A6" w:rsidRPr="00B043A6">
        <w:t xml:space="preserve">: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приборы парового и водяного отопления</w:t>
      </w:r>
      <w:r w:rsidR="00B043A6" w:rsidRPr="00B043A6"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 и баллоны емкостью не более 25л, у которых произведение емкости в литрах на рабочее давление (МПа</w:t>
      </w:r>
      <w:r w:rsidR="00B043A6" w:rsidRPr="00B043A6">
        <w:t xml:space="preserve">) </w:t>
      </w:r>
      <w:r w:rsidRPr="00B043A6">
        <w:t>составляет не более 20л МПа</w:t>
      </w:r>
      <w:r w:rsidR="00B043A6" w:rsidRPr="00B043A6"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 из не металлических материалов</w:t>
      </w:r>
      <w:r w:rsidR="00B043A6" w:rsidRPr="00B043A6">
        <w:t xml:space="preserve">; </w:t>
      </w: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сосуды, работающие под давлением воды при температуре не выше 115</w:t>
      </w:r>
      <w:r w:rsidRPr="00B043A6">
        <w:rPr>
          <w:vertAlign w:val="superscript"/>
        </w:rPr>
        <w:t>о</w:t>
      </w:r>
      <w:r w:rsidRPr="00B043A6">
        <w:t>С и сосуды под давлением других жидкостей при температуре не выше точки кипения и давлении 0,07МПа</w:t>
      </w:r>
      <w:r w:rsidR="00B043A6" w:rsidRPr="00B043A6">
        <w:t xml:space="preserve">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В зависимости от температуры и давления эксплуатации сосуды подразделяются на 4 группы (табл</w:t>
      </w:r>
      <w:r w:rsidR="00B043A6">
        <w:t>. 3</w:t>
      </w:r>
      <w:r w:rsidR="00B043A6" w:rsidRPr="00B043A6">
        <w:t>.</w:t>
      </w:r>
      <w:r w:rsidR="00B043A6">
        <w:t>3.1</w:t>
      </w:r>
      <w:r w:rsidR="00B043A6" w:rsidRPr="00B043A6">
        <w:t xml:space="preserve">).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 до пуска в эксплуатацию должны быть зарегистрированы в экспертно-технических центрах (ЭТЦ</w:t>
      </w:r>
      <w:r w:rsidR="00B043A6" w:rsidRPr="00B043A6">
        <w:t xml:space="preserve">) </w:t>
      </w:r>
      <w:r w:rsidRPr="00B043A6">
        <w:t>Госнадзора</w:t>
      </w:r>
      <w:r w:rsidR="00B043A6" w:rsidRPr="00B043A6">
        <w:t xml:space="preserve">. </w:t>
      </w:r>
      <w:r w:rsidRPr="00B043A6">
        <w:t>Регистрации в ЭТЦ подлежат</w:t>
      </w:r>
      <w:r w:rsidR="00B043A6" w:rsidRPr="00B043A6">
        <w:t xml:space="preserve">: </w:t>
      </w: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сосуды, работающие под давлением, не едких и не взрывоопасных сред с температурой стенок более 200 оС и подчиняющиеся неравенству (2,3 и 4 группы</w:t>
      </w:r>
      <w:r w:rsidR="00B043A6" w:rsidRPr="00B043A6">
        <w:t xml:space="preserve">) </w:t>
      </w:r>
    </w:p>
    <w:p w:rsidR="00B043A6" w:rsidRPr="00B043A6" w:rsidRDefault="00771F17" w:rsidP="00B043A6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1.75pt">
            <v:imagedata r:id="rId7" o:title=""/>
          </v:shape>
        </w:pict>
      </w:r>
      <w:r w:rsidR="00B043A6" w:rsidRPr="00B043A6">
        <w:t xml:space="preserve"> </w:t>
      </w:r>
      <w:r w:rsidR="00DC4A5A" w:rsidRPr="00B043A6">
        <w:t>(</w:t>
      </w:r>
      <w:r w:rsidR="00B043A6" w:rsidRPr="00B043A6">
        <w:t>3.</w:t>
      </w:r>
      <w:r w:rsidR="00B043A6">
        <w:t>3.2</w:t>
      </w:r>
      <w:r w:rsidR="00B043A6" w:rsidRPr="00B043A6">
        <w:t xml:space="preserve">) </w:t>
      </w: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 xml:space="preserve">где </w:t>
      </w:r>
      <w:r w:rsidRPr="00B043A6">
        <w:rPr>
          <w:lang w:val="en-US"/>
        </w:rPr>
        <w:t>P</w:t>
      </w:r>
      <w:r w:rsidRPr="00B043A6">
        <w:t xml:space="preserve"> – рабочее давление, МПа (кгс/см2</w:t>
      </w:r>
      <w:r w:rsidR="00B043A6" w:rsidRPr="00B043A6">
        <w:t xml:space="preserve">); </w:t>
      </w: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rPr>
          <w:lang w:val="en-US"/>
        </w:rPr>
        <w:t>V</w:t>
      </w:r>
      <w:r w:rsidRPr="00B043A6">
        <w:t xml:space="preserve"> – объем, м3 (л</w:t>
      </w:r>
      <w:r w:rsidR="00B043A6" w:rsidRPr="00B043A6">
        <w:t xml:space="preserve">). </w:t>
      </w: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 с едкими и взрывоопасными средами с температурой более 200 оС, подчиняющиеся неравенству</w:t>
      </w:r>
      <w:r w:rsidR="00B043A6" w:rsidRPr="00B043A6">
        <w:t xml:space="preserve"> </w:t>
      </w:r>
      <w:r w:rsidRPr="00B043A6">
        <w:t>(1 группа</w:t>
      </w:r>
      <w:r w:rsidR="00B043A6" w:rsidRPr="00B043A6">
        <w:t>),</w:t>
      </w:r>
      <w:r w:rsidRPr="00B043A6">
        <w:t xml:space="preserve"> баллоны вместимостью более 200л для транспортировки и хранения сжатых, сжиженных и растворенных газов</w:t>
      </w:r>
      <w:r w:rsidR="00B043A6" w:rsidRPr="00B043A6">
        <w:t xml:space="preserve">. </w:t>
      </w:r>
    </w:p>
    <w:p w:rsidR="00B043A6" w:rsidRPr="00B043A6" w:rsidRDefault="00771F17" w:rsidP="00B043A6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07.25pt;height:21.75pt">
            <v:imagedata r:id="rId8" o:title=""/>
          </v:shape>
        </w:pict>
      </w:r>
      <w:r w:rsidR="00B043A6" w:rsidRPr="00B043A6">
        <w:t xml:space="preserve"> </w:t>
      </w:r>
      <w:r w:rsidR="00DC4A5A" w:rsidRPr="00B043A6">
        <w:t>(</w:t>
      </w:r>
      <w:r w:rsidR="00B043A6" w:rsidRPr="00B043A6">
        <w:t>3.</w:t>
      </w:r>
      <w:r w:rsidR="00B043A6">
        <w:t>3.3</w:t>
      </w:r>
      <w:r w:rsidR="00B043A6" w:rsidRPr="00B043A6">
        <w:t xml:space="preserve">)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Не подлежат регистрации в ЭТЦ</w:t>
      </w:r>
      <w:r w:rsidR="00B043A6" w:rsidRPr="00B043A6">
        <w:t xml:space="preserve">: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 1й группы, которые работают при температуре не более 200 оС, в которых произведение давления в МПа (кгс/см2</w:t>
      </w:r>
      <w:r w:rsidR="00B043A6" w:rsidRPr="00B043A6">
        <w:t xml:space="preserve">) </w:t>
      </w:r>
      <w:r w:rsidRPr="00B043A6">
        <w:t>на объем в м3 (л</w:t>
      </w:r>
      <w:r w:rsidR="00B043A6" w:rsidRPr="00B043A6">
        <w:t xml:space="preserve">) </w:t>
      </w:r>
      <w:r w:rsidRPr="00B043A6">
        <w:t>не превышает 0,05 (500</w:t>
      </w:r>
      <w:r w:rsidR="00B043A6" w:rsidRPr="00B043A6">
        <w:t xml:space="preserve">);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 2, 3 и 4 групп, работающие при указанной выше температуре, у которых произведение давления в МПа (кгс/см2</w:t>
      </w:r>
      <w:r w:rsidR="00B043A6" w:rsidRPr="00B043A6">
        <w:t xml:space="preserve">) </w:t>
      </w:r>
      <w:r w:rsidRPr="00B043A6">
        <w:t>на объем в м3 (л</w:t>
      </w:r>
      <w:r w:rsidR="00B043A6" w:rsidRPr="00B043A6">
        <w:t xml:space="preserve">) </w:t>
      </w:r>
      <w:r w:rsidRPr="00B043A6">
        <w:t>не превышает 1 (10000</w:t>
      </w:r>
      <w:r w:rsidR="00B043A6" w:rsidRPr="00B043A6">
        <w:t xml:space="preserve">);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бочки для транспортировки сжиженных газов, баллоны вместимостью до 100л включительно, которые устанавливаются стационарно, а также предназначенные для транспортировки и хранения сжиженных, сжатых и растворенных газов</w:t>
      </w:r>
      <w:r w:rsidR="00B043A6" w:rsidRPr="00B043A6"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 для сохранения или транспортировки сжиженных газов, жидких и сыпучих тел, которые находятся под давлением периодически при их опорожнении</w:t>
      </w:r>
      <w:r w:rsidR="00B043A6" w:rsidRPr="00B043A6">
        <w:t xml:space="preserve">; </w:t>
      </w: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сосуды со сжатыми и сжиженными газами, которые предназначены для обеспечения топливом двигателей транспортных средств, на которые они установлены</w:t>
      </w:r>
      <w:r w:rsidR="00B043A6" w:rsidRPr="00B043A6">
        <w:t xml:space="preserve">; </w:t>
      </w:r>
      <w:r w:rsidRPr="00B043A6">
        <w:t>некоторые другие сосуды</w:t>
      </w:r>
      <w:r w:rsidR="00B043A6" w:rsidRPr="00B043A6">
        <w:t xml:space="preserve">. </w:t>
      </w:r>
    </w:p>
    <w:p w:rsidR="00B043A6" w:rsidRDefault="00B043A6" w:rsidP="00B043A6">
      <w:pPr>
        <w:widowControl w:val="0"/>
        <w:autoSpaceDE w:val="0"/>
        <w:autoSpaceDN w:val="0"/>
        <w:adjustRightInd w:val="0"/>
        <w:ind w:firstLine="709"/>
      </w:pP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 xml:space="preserve">Таблица </w:t>
      </w:r>
      <w:r w:rsidR="00B043A6" w:rsidRPr="00B043A6">
        <w:t>3.</w:t>
      </w:r>
      <w:r w:rsidR="00B043A6">
        <w:t>3.1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</w:pPr>
      <w:r w:rsidRPr="00B043A6">
        <w:t>Группы сосудов в зависимости от расчетного давления</w:t>
      </w:r>
      <w:r w:rsidR="00B043A6" w:rsidRPr="00B043A6">
        <w:t xml:space="preserve">. 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2675"/>
        <w:gridCol w:w="2250"/>
        <w:gridCol w:w="3296"/>
      </w:tblGrid>
      <w:tr w:rsidR="00DC4A5A" w:rsidRPr="00B043A6" w:rsidTr="00B043A6">
        <w:trPr>
          <w:cantSplit/>
          <w:trHeight w:val="1134"/>
        </w:trPr>
        <w:tc>
          <w:tcPr>
            <w:tcW w:w="483" w:type="pct"/>
            <w:textDirection w:val="btLr"/>
          </w:tcPr>
          <w:p w:rsidR="00DC4A5A" w:rsidRPr="00B043A6" w:rsidRDefault="00DC4A5A" w:rsidP="00B043A6">
            <w:pPr>
              <w:pStyle w:val="af8"/>
            </w:pPr>
            <w:r w:rsidRPr="00B043A6">
              <w:t>Группа сосуда</w:t>
            </w:r>
          </w:p>
        </w:tc>
        <w:tc>
          <w:tcPr>
            <w:tcW w:w="1470" w:type="pct"/>
          </w:tcPr>
          <w:p w:rsidR="00DC4A5A" w:rsidRPr="00B043A6" w:rsidRDefault="00DC4A5A" w:rsidP="00B043A6">
            <w:pPr>
              <w:pStyle w:val="af8"/>
            </w:pPr>
          </w:p>
          <w:p w:rsidR="00DC4A5A" w:rsidRPr="00B043A6" w:rsidRDefault="00DC4A5A" w:rsidP="00B043A6">
            <w:pPr>
              <w:pStyle w:val="af8"/>
            </w:pPr>
            <w:r w:rsidRPr="00B043A6">
              <w:t>Расчетное давление, МПа (кгс/см2</w:t>
            </w:r>
            <w:r w:rsidR="00B043A6" w:rsidRPr="00B043A6">
              <w:t xml:space="preserve">) </w:t>
            </w:r>
          </w:p>
        </w:tc>
        <w:tc>
          <w:tcPr>
            <w:tcW w:w="1236" w:type="pct"/>
          </w:tcPr>
          <w:p w:rsidR="00DC4A5A" w:rsidRPr="00B043A6" w:rsidRDefault="00DC4A5A" w:rsidP="00B043A6">
            <w:pPr>
              <w:pStyle w:val="af8"/>
            </w:pPr>
          </w:p>
          <w:p w:rsidR="00DC4A5A" w:rsidRPr="00B043A6" w:rsidRDefault="00DC4A5A" w:rsidP="00B043A6">
            <w:pPr>
              <w:pStyle w:val="af8"/>
            </w:pPr>
            <w:r w:rsidRPr="00B043A6">
              <w:t>Температура, оС</w:t>
            </w:r>
          </w:p>
        </w:tc>
        <w:tc>
          <w:tcPr>
            <w:tcW w:w="1811" w:type="pct"/>
          </w:tcPr>
          <w:p w:rsidR="00DC4A5A" w:rsidRPr="00B043A6" w:rsidRDefault="00DC4A5A" w:rsidP="00B043A6">
            <w:pPr>
              <w:pStyle w:val="af8"/>
            </w:pPr>
          </w:p>
          <w:p w:rsidR="00DC4A5A" w:rsidRPr="00B043A6" w:rsidRDefault="00DC4A5A" w:rsidP="00B043A6">
            <w:pPr>
              <w:pStyle w:val="af8"/>
            </w:pPr>
            <w:r w:rsidRPr="00B043A6">
              <w:t>Характер рабочей среды</w:t>
            </w:r>
          </w:p>
        </w:tc>
      </w:tr>
      <w:tr w:rsidR="00DC4A5A" w:rsidRPr="00B043A6" w:rsidTr="00B043A6">
        <w:tc>
          <w:tcPr>
            <w:tcW w:w="483" w:type="pct"/>
          </w:tcPr>
          <w:p w:rsidR="00DC4A5A" w:rsidRPr="00B043A6" w:rsidRDefault="00DC4A5A" w:rsidP="00B043A6">
            <w:pPr>
              <w:pStyle w:val="af8"/>
            </w:pPr>
            <w:r w:rsidRPr="00B043A6">
              <w:t>1</w:t>
            </w:r>
          </w:p>
        </w:tc>
        <w:tc>
          <w:tcPr>
            <w:tcW w:w="1470" w:type="pct"/>
          </w:tcPr>
          <w:p w:rsidR="00DC4A5A" w:rsidRPr="00B043A6" w:rsidRDefault="00DC4A5A" w:rsidP="00B043A6">
            <w:pPr>
              <w:pStyle w:val="af8"/>
            </w:pPr>
            <w:r w:rsidRPr="00B043A6">
              <w:t>Более 0,07 (0,7</w:t>
            </w:r>
            <w:r w:rsidR="00B043A6" w:rsidRPr="00B043A6">
              <w:t xml:space="preserve">) </w:t>
            </w:r>
          </w:p>
        </w:tc>
        <w:tc>
          <w:tcPr>
            <w:tcW w:w="1236" w:type="pct"/>
          </w:tcPr>
          <w:p w:rsidR="00DC4A5A" w:rsidRPr="00B043A6" w:rsidRDefault="00DC4A5A" w:rsidP="00B043A6">
            <w:pPr>
              <w:pStyle w:val="af8"/>
            </w:pPr>
            <w:r w:rsidRPr="00B043A6">
              <w:t>Независимо</w:t>
            </w:r>
          </w:p>
        </w:tc>
        <w:tc>
          <w:tcPr>
            <w:tcW w:w="1811" w:type="pct"/>
          </w:tcPr>
          <w:p w:rsidR="00DC4A5A" w:rsidRPr="00B043A6" w:rsidRDefault="00DC4A5A" w:rsidP="00B043A6">
            <w:pPr>
              <w:pStyle w:val="af8"/>
            </w:pPr>
            <w:r w:rsidRPr="00B043A6">
              <w:t>Взрыво</w:t>
            </w:r>
            <w:r w:rsidR="00B043A6" w:rsidRPr="00B043A6">
              <w:t xml:space="preserve"> - </w:t>
            </w:r>
            <w:r w:rsidRPr="00B043A6">
              <w:t>или пожароопасная, или 1,2-го класса безопасности по ГОСТ1</w:t>
            </w:r>
            <w:r w:rsidR="00B043A6" w:rsidRPr="00B043A6">
              <w:t>2.1</w:t>
            </w:r>
            <w:r w:rsidR="00B043A6">
              <w:t>.0</w:t>
            </w:r>
            <w:r w:rsidRPr="00B043A6">
              <w:t>07</w:t>
            </w:r>
          </w:p>
        </w:tc>
      </w:tr>
      <w:tr w:rsidR="00DC4A5A" w:rsidRPr="00B043A6" w:rsidTr="00B043A6">
        <w:tc>
          <w:tcPr>
            <w:tcW w:w="483" w:type="pct"/>
          </w:tcPr>
          <w:p w:rsidR="00DC4A5A" w:rsidRPr="00B043A6" w:rsidRDefault="00DC4A5A" w:rsidP="00B043A6">
            <w:pPr>
              <w:pStyle w:val="af8"/>
            </w:pPr>
            <w:r w:rsidRPr="00B043A6">
              <w:t>2</w:t>
            </w:r>
          </w:p>
        </w:tc>
        <w:tc>
          <w:tcPr>
            <w:tcW w:w="1470" w:type="pct"/>
          </w:tcPr>
          <w:p w:rsidR="00B043A6" w:rsidRPr="00B043A6" w:rsidRDefault="00DC4A5A" w:rsidP="00B043A6">
            <w:pPr>
              <w:pStyle w:val="af8"/>
            </w:pPr>
            <w:r w:rsidRPr="00B043A6">
              <w:t>До 2,5 (25</w:t>
            </w:r>
            <w:r w:rsidR="00B043A6" w:rsidRPr="00B043A6">
              <w:t xml:space="preserve">) 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Более 2,5 (25</w:t>
            </w:r>
            <w:r w:rsidR="00B043A6" w:rsidRPr="00B043A6">
              <w:t xml:space="preserve">) 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до 4 (40</w:t>
            </w:r>
            <w:r w:rsidR="00B043A6" w:rsidRPr="00B043A6">
              <w:t xml:space="preserve">) 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Более 4 (40</w:t>
            </w:r>
            <w:r w:rsidR="00B043A6" w:rsidRPr="00B043A6">
              <w:t xml:space="preserve">) 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до 5 (50</w:t>
            </w:r>
            <w:r w:rsidR="00B043A6" w:rsidRPr="00B043A6">
              <w:t xml:space="preserve">) 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Более 5 (50</w:t>
            </w:r>
            <w:r w:rsidR="00B043A6" w:rsidRPr="00B043A6">
              <w:t xml:space="preserve">) </w:t>
            </w:r>
          </w:p>
        </w:tc>
        <w:tc>
          <w:tcPr>
            <w:tcW w:w="1236" w:type="pct"/>
          </w:tcPr>
          <w:p w:rsidR="00DC4A5A" w:rsidRPr="00B043A6" w:rsidRDefault="00DC4A5A" w:rsidP="00B043A6">
            <w:pPr>
              <w:pStyle w:val="af8"/>
            </w:pPr>
            <w:r w:rsidRPr="00B043A6">
              <w:t>Ниже –70 выше 400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Ниже –70 выше 200 Ниже –70 выше 200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Независимо</w:t>
            </w:r>
          </w:p>
        </w:tc>
        <w:tc>
          <w:tcPr>
            <w:tcW w:w="1811" w:type="pct"/>
          </w:tcPr>
          <w:p w:rsidR="00DC4A5A" w:rsidRPr="00B043A6" w:rsidRDefault="00DC4A5A" w:rsidP="00B043A6">
            <w:pPr>
              <w:pStyle w:val="af8"/>
            </w:pPr>
          </w:p>
          <w:p w:rsidR="00DC4A5A" w:rsidRPr="00B043A6" w:rsidRDefault="00DC4A5A" w:rsidP="00B043A6">
            <w:pPr>
              <w:pStyle w:val="af8"/>
            </w:pPr>
            <w:r w:rsidRPr="00B043A6">
              <w:t>Любая, за исключением указанной для первой группы сосудов</w:t>
            </w:r>
          </w:p>
        </w:tc>
      </w:tr>
      <w:tr w:rsidR="00DC4A5A" w:rsidRPr="00B043A6" w:rsidTr="00B043A6">
        <w:trPr>
          <w:cantSplit/>
        </w:trPr>
        <w:tc>
          <w:tcPr>
            <w:tcW w:w="483" w:type="pct"/>
          </w:tcPr>
          <w:p w:rsidR="00DC4A5A" w:rsidRPr="00B043A6" w:rsidRDefault="00DC4A5A" w:rsidP="00B043A6">
            <w:pPr>
              <w:pStyle w:val="af8"/>
            </w:pPr>
            <w:r w:rsidRPr="00B043A6">
              <w:t>3</w:t>
            </w:r>
          </w:p>
        </w:tc>
        <w:tc>
          <w:tcPr>
            <w:tcW w:w="1470" w:type="pct"/>
          </w:tcPr>
          <w:p w:rsidR="00B043A6" w:rsidRPr="00B043A6" w:rsidRDefault="00DC4A5A" w:rsidP="00B043A6">
            <w:pPr>
              <w:pStyle w:val="af8"/>
            </w:pPr>
            <w:r w:rsidRPr="00B043A6">
              <w:t>До 1,6 (16</w:t>
            </w:r>
            <w:r w:rsidR="00B043A6" w:rsidRPr="00B043A6">
              <w:t xml:space="preserve">) 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Более 1,6 (16</w:t>
            </w:r>
            <w:r w:rsidR="00B043A6" w:rsidRPr="00B043A6">
              <w:t xml:space="preserve">) </w:t>
            </w:r>
            <w:r w:rsidRPr="00B043A6">
              <w:t>до 2,5 (25</w:t>
            </w:r>
            <w:r w:rsidR="00B043A6" w:rsidRPr="00B043A6">
              <w:t xml:space="preserve">) 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Более 2,5 (25</w:t>
            </w:r>
            <w:r w:rsidR="00B043A6" w:rsidRPr="00B043A6">
              <w:t xml:space="preserve">) </w:t>
            </w:r>
            <w:r w:rsidRPr="00B043A6">
              <w:t>до 4 (40</w:t>
            </w:r>
            <w:r w:rsidR="00B043A6" w:rsidRPr="00B043A6">
              <w:t xml:space="preserve">) 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Более 4 (40</w:t>
            </w:r>
            <w:r w:rsidR="00B043A6" w:rsidRPr="00B043A6">
              <w:t xml:space="preserve">) </w:t>
            </w:r>
            <w:r w:rsidRPr="00B043A6">
              <w:t>до 5 (50</w:t>
            </w:r>
            <w:r w:rsidR="00B043A6" w:rsidRPr="00B043A6">
              <w:t xml:space="preserve">) </w:t>
            </w:r>
          </w:p>
        </w:tc>
        <w:tc>
          <w:tcPr>
            <w:tcW w:w="1236" w:type="pct"/>
          </w:tcPr>
          <w:p w:rsidR="00DC4A5A" w:rsidRPr="00B043A6" w:rsidRDefault="00DC4A5A" w:rsidP="00B043A6">
            <w:pPr>
              <w:pStyle w:val="af8"/>
            </w:pPr>
            <w:r w:rsidRPr="00B043A6">
              <w:t>От –70 до –20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От 200 до 400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 xml:space="preserve">От –70 до 400 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От –70 до 200</w:t>
            </w:r>
          </w:p>
          <w:p w:rsidR="00DC4A5A" w:rsidRPr="00B043A6" w:rsidRDefault="00DC4A5A" w:rsidP="00B043A6">
            <w:pPr>
              <w:pStyle w:val="af8"/>
            </w:pPr>
            <w:r w:rsidRPr="00B043A6">
              <w:t>От –40 до 200</w:t>
            </w:r>
          </w:p>
        </w:tc>
        <w:tc>
          <w:tcPr>
            <w:tcW w:w="1811" w:type="pct"/>
            <w:vMerge w:val="restart"/>
          </w:tcPr>
          <w:p w:rsidR="00DC4A5A" w:rsidRPr="00B043A6" w:rsidRDefault="00DC4A5A" w:rsidP="00B043A6">
            <w:pPr>
              <w:pStyle w:val="af8"/>
            </w:pPr>
          </w:p>
          <w:p w:rsidR="00DC4A5A" w:rsidRPr="00B043A6" w:rsidRDefault="00DC4A5A" w:rsidP="00B043A6">
            <w:pPr>
              <w:pStyle w:val="af8"/>
            </w:pPr>
            <w:r w:rsidRPr="00B043A6">
              <w:t>Любая, за исключением указанных для первой и второй групп сосудов</w:t>
            </w:r>
          </w:p>
        </w:tc>
      </w:tr>
      <w:tr w:rsidR="00DC4A5A" w:rsidRPr="00B043A6" w:rsidTr="00B043A6">
        <w:trPr>
          <w:cantSplit/>
        </w:trPr>
        <w:tc>
          <w:tcPr>
            <w:tcW w:w="483" w:type="pct"/>
          </w:tcPr>
          <w:p w:rsidR="00DC4A5A" w:rsidRPr="00B043A6" w:rsidRDefault="00DC4A5A" w:rsidP="00B043A6">
            <w:pPr>
              <w:pStyle w:val="af8"/>
            </w:pPr>
            <w:r w:rsidRPr="00B043A6">
              <w:t>4</w:t>
            </w:r>
          </w:p>
        </w:tc>
        <w:tc>
          <w:tcPr>
            <w:tcW w:w="1470" w:type="pct"/>
          </w:tcPr>
          <w:p w:rsidR="00DC4A5A" w:rsidRPr="00B043A6" w:rsidRDefault="00DC4A5A" w:rsidP="00B043A6">
            <w:pPr>
              <w:pStyle w:val="af8"/>
            </w:pPr>
            <w:r w:rsidRPr="00B043A6">
              <w:t>До 1,6 (16</w:t>
            </w:r>
            <w:r w:rsidR="00B043A6" w:rsidRPr="00B043A6">
              <w:t xml:space="preserve">) </w:t>
            </w:r>
          </w:p>
        </w:tc>
        <w:tc>
          <w:tcPr>
            <w:tcW w:w="1236" w:type="pct"/>
          </w:tcPr>
          <w:p w:rsidR="00DC4A5A" w:rsidRPr="00B043A6" w:rsidRDefault="00DC4A5A" w:rsidP="00B043A6">
            <w:pPr>
              <w:pStyle w:val="af8"/>
            </w:pPr>
            <w:r w:rsidRPr="00B043A6">
              <w:t>От –20 до 200</w:t>
            </w:r>
          </w:p>
        </w:tc>
        <w:tc>
          <w:tcPr>
            <w:tcW w:w="1811" w:type="pct"/>
            <w:vMerge/>
          </w:tcPr>
          <w:p w:rsidR="00DC4A5A" w:rsidRPr="00B043A6" w:rsidRDefault="00DC4A5A" w:rsidP="00B043A6">
            <w:pPr>
              <w:pStyle w:val="af8"/>
            </w:pPr>
          </w:p>
        </w:tc>
      </w:tr>
    </w:tbl>
    <w:p w:rsidR="00B043A6" w:rsidRDefault="00B043A6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Регистрация сосудов производится по письменному заявлению владельца сосуда с предъявлением</w:t>
      </w:r>
      <w:r w:rsidR="00B043A6" w:rsidRPr="00B043A6">
        <w:rPr>
          <w:color w:val="000000"/>
          <w:sz w:val="20"/>
          <w:szCs w:val="20"/>
        </w:rPr>
        <w:t xml:space="preserve">: </w:t>
      </w:r>
      <w:r w:rsidRPr="00B043A6">
        <w:rPr>
          <w:color w:val="000000"/>
          <w:sz w:val="20"/>
          <w:szCs w:val="20"/>
        </w:rPr>
        <w:t>паспорта на сосуд, удостоверения о качестве сборки, схемы включения сосуда (с указанием рабочих параметров</w:t>
      </w:r>
      <w:r w:rsidR="00B043A6" w:rsidRPr="00B043A6">
        <w:rPr>
          <w:color w:val="000000"/>
          <w:sz w:val="20"/>
          <w:szCs w:val="20"/>
        </w:rPr>
        <w:t>),</w:t>
      </w:r>
      <w:r w:rsidRPr="00B043A6">
        <w:rPr>
          <w:color w:val="000000"/>
          <w:sz w:val="20"/>
          <w:szCs w:val="20"/>
        </w:rPr>
        <w:t xml:space="preserve"> паспорта предохранительного клапана с указанием расчетной пропускной способности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snapToGrid w:val="0"/>
          <w:color w:val="000000"/>
          <w:sz w:val="20"/>
          <w:szCs w:val="20"/>
        </w:rPr>
      </w:pPr>
      <w:r w:rsidRPr="00B043A6">
        <w:rPr>
          <w:snapToGrid w:val="0"/>
          <w:color w:val="000000"/>
          <w:sz w:val="20"/>
          <w:szCs w:val="20"/>
        </w:rPr>
        <w:t>Разрешение на пуск в работу сосудов, подлежащих регистрации, выдается инспектором надзора после их регистрации и технического освидетельствования</w:t>
      </w:r>
      <w:r w:rsidR="00B043A6" w:rsidRPr="00B043A6">
        <w:rPr>
          <w:snapToGrid w:val="0"/>
          <w:color w:val="000000"/>
          <w:sz w:val="20"/>
          <w:szCs w:val="20"/>
        </w:rPr>
        <w:t xml:space="preserve">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snapToGrid w:val="0"/>
          <w:color w:val="000000"/>
          <w:sz w:val="20"/>
          <w:szCs w:val="20"/>
        </w:rPr>
        <w:t>Разрешение же на пуск в работу сосудов, не подлежащих регистрации в органах надзора, выдается лицом, назначенным приказом по предприятию для осуществления надзора за ними, на основании результатов технического освидетельствования</w:t>
      </w:r>
      <w:r w:rsidR="00B043A6" w:rsidRPr="00B043A6">
        <w:rPr>
          <w:snapToGrid w:val="0"/>
          <w:color w:val="000000"/>
          <w:sz w:val="20"/>
          <w:szCs w:val="20"/>
        </w:rPr>
        <w:t xml:space="preserve">. </w:t>
      </w:r>
      <w:r w:rsidRPr="00B043A6">
        <w:rPr>
          <w:snapToGrid w:val="0"/>
          <w:color w:val="000000"/>
          <w:sz w:val="20"/>
          <w:szCs w:val="20"/>
        </w:rPr>
        <w:t>Эти разрешения (с указанием срока следующего технического освидетельствования</w:t>
      </w:r>
      <w:r w:rsidR="00B043A6" w:rsidRPr="00B043A6">
        <w:rPr>
          <w:snapToGrid w:val="0"/>
          <w:color w:val="000000"/>
          <w:sz w:val="20"/>
          <w:szCs w:val="20"/>
        </w:rPr>
        <w:t xml:space="preserve">) </w:t>
      </w:r>
      <w:r w:rsidRPr="00B043A6">
        <w:rPr>
          <w:snapToGrid w:val="0"/>
          <w:color w:val="000000"/>
          <w:sz w:val="20"/>
          <w:szCs w:val="20"/>
        </w:rPr>
        <w:t xml:space="preserve">записываются в паспорт и </w:t>
      </w:r>
      <w:r w:rsidR="00B043A6" w:rsidRPr="00B043A6">
        <w:rPr>
          <w:snapToGrid w:val="0"/>
          <w:color w:val="000000"/>
          <w:sz w:val="20"/>
          <w:szCs w:val="20"/>
        </w:rPr>
        <w:t>"</w:t>
      </w:r>
      <w:r w:rsidRPr="00B043A6">
        <w:rPr>
          <w:snapToGrid w:val="0"/>
          <w:color w:val="000000"/>
          <w:sz w:val="20"/>
          <w:szCs w:val="20"/>
        </w:rPr>
        <w:t>Книгу учета и освидетельствования сосуда</w:t>
      </w:r>
      <w:r w:rsidR="00B043A6" w:rsidRPr="00B043A6">
        <w:rPr>
          <w:snapToGrid w:val="0"/>
          <w:color w:val="000000"/>
          <w:sz w:val="20"/>
          <w:szCs w:val="20"/>
        </w:rPr>
        <w:t xml:space="preserve">".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Техническое освидетельствование сосудов, подлежащих регистрации в ЭТЦ, проводят представители Госнадзора охраны труда в присутствии представителей технической службы предприятия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Сосуды, которые не подлежат регистрации в органах Госнадзора охраны труда лицом, отвечающим за их техническое и безопасное состояние на предприятии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Техническое освидетельствование включает внешний и внутренний осмотр и испытание давлением, согласно паспорту на сосуд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При перестановке сосуда на новое место или передаче другому владельцу, а также изменении схемы его работы сосуд подлежит обязательной перерегистрации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Для обслуживания сосудов, работающих под давлением, могут быть допущены лица не моложе 18 лет, прошедшие медицинское освидетельствование, обученные по утвержденной программе</w:t>
      </w:r>
      <w:r w:rsidR="00B043A6" w:rsidRPr="00B043A6">
        <w:rPr>
          <w:color w:val="000000"/>
          <w:sz w:val="20"/>
          <w:szCs w:val="20"/>
        </w:rPr>
        <w:t xml:space="preserve">, </w:t>
      </w:r>
      <w:r w:rsidRPr="00B043A6">
        <w:rPr>
          <w:color w:val="000000"/>
          <w:sz w:val="20"/>
          <w:szCs w:val="20"/>
        </w:rPr>
        <w:t>аттестованные с выдачей удостоверения на право выполнения работ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Аттестация персонала, который работает с сосудами под давлением вредных веществ 1, 2, 3 и 4го классов опасности по ГОСТ 1</w:t>
      </w:r>
      <w:r w:rsidR="00B043A6" w:rsidRPr="00B043A6">
        <w:rPr>
          <w:color w:val="000000"/>
          <w:sz w:val="20"/>
          <w:szCs w:val="20"/>
        </w:rPr>
        <w:t>2.1</w:t>
      </w:r>
      <w:r w:rsidR="00B043A6">
        <w:rPr>
          <w:color w:val="000000"/>
          <w:sz w:val="20"/>
          <w:szCs w:val="20"/>
        </w:rPr>
        <w:t>.0</w:t>
      </w:r>
      <w:r w:rsidRPr="00B043A6">
        <w:rPr>
          <w:color w:val="000000"/>
          <w:sz w:val="20"/>
          <w:szCs w:val="20"/>
        </w:rPr>
        <w:t>07 производится комиссией с обязательным участием представителя Госнадзора охраны труда (в остальных случаях участие представителя Госнадзора охраны труда в комиссии не обязательно</w:t>
      </w:r>
      <w:r w:rsidR="00B043A6" w:rsidRPr="00B043A6">
        <w:rPr>
          <w:color w:val="000000"/>
          <w:sz w:val="20"/>
          <w:szCs w:val="20"/>
        </w:rPr>
        <w:t xml:space="preserve">). </w:t>
      </w:r>
      <w:r w:rsidRPr="00B043A6">
        <w:rPr>
          <w:color w:val="000000"/>
          <w:sz w:val="20"/>
          <w:szCs w:val="20"/>
        </w:rPr>
        <w:t>Проверка знаний персонала, обслуживающего сосуды, работающие под давлением, проводится не реже 1 раза в год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B043A6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Внеочередная проверка знаний персонала проводится в следующих случаях</w:t>
      </w:r>
      <w:r w:rsidR="00B043A6" w:rsidRPr="00B043A6">
        <w:rPr>
          <w:color w:val="000000"/>
          <w:sz w:val="20"/>
          <w:szCs w:val="20"/>
        </w:rPr>
        <w:t>: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при перерыве в работе более 12 месяцев</w:t>
      </w:r>
      <w:r w:rsidR="00B043A6" w:rsidRPr="00B043A6">
        <w:rPr>
          <w:color w:val="000000"/>
          <w:sz w:val="20"/>
          <w:szCs w:val="20"/>
        </w:rPr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по требованию представителя Госнадзора охраны труда при обнаружении нарушений в работе персонала или технического состояния сосуда</w:t>
      </w:r>
      <w:r w:rsidR="00B043A6" w:rsidRPr="00B043A6">
        <w:rPr>
          <w:color w:val="000000"/>
          <w:sz w:val="20"/>
          <w:szCs w:val="20"/>
        </w:rPr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при смене места работы</w:t>
      </w:r>
      <w:r w:rsidR="00B043A6" w:rsidRPr="00B043A6">
        <w:rPr>
          <w:color w:val="000000"/>
          <w:sz w:val="20"/>
          <w:szCs w:val="20"/>
        </w:rPr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при смене типа или группы сосудов, работающих под давлением</w:t>
      </w:r>
      <w:r w:rsidR="00B043A6" w:rsidRPr="00B043A6">
        <w:rPr>
          <w:color w:val="000000"/>
          <w:sz w:val="20"/>
          <w:szCs w:val="20"/>
        </w:rPr>
        <w:t xml:space="preserve">;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при изменении схемы и режима работы сосуда под давлением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Учитывая высокую потенциальную опасность сосудов, работающих под давлением, на рабочем месте должна быть вывешена инструкция безопасной работы, порядок допуска и включения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Запрещено находиться на рабочем месте с сосудами под давлением посторонним лицам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Автоклавы применяют в строительной индустрии для тепловой обработки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силикатных изделий, пено</w:t>
      </w:r>
      <w:r w:rsidR="00B043A6" w:rsidRPr="00B043A6">
        <w:rPr>
          <w:color w:val="000000"/>
          <w:sz w:val="20"/>
          <w:szCs w:val="20"/>
        </w:rPr>
        <w:t xml:space="preserve">- </w:t>
      </w:r>
      <w:r w:rsidRPr="00B043A6">
        <w:rPr>
          <w:color w:val="000000"/>
          <w:sz w:val="20"/>
          <w:szCs w:val="20"/>
        </w:rPr>
        <w:t xml:space="preserve">и газобетона, силикатного кирпича, пропитки древесины и </w:t>
      </w:r>
      <w:r w:rsidR="00B043A6" w:rsidRPr="00B043A6">
        <w:rPr>
          <w:color w:val="000000"/>
          <w:sz w:val="20"/>
          <w:szCs w:val="20"/>
        </w:rPr>
        <w:t xml:space="preserve">т.д. </w:t>
      </w:r>
    </w:p>
    <w:p w:rsidR="00B043A6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Аварии с автоклавами могут произойти из-за превышения давления пара сверх допустимого, открытия крышек при наличии давления более 0,01МПа (0,1кгс/см2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в автоклаве, впуска пара при неполном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закрытии крышек, нахождении обслуживающего персонала внутри автоклава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Автоклавы для обеспечения безопасной работы снабжаются, также как и сосуды, работающие под давление, предохранительной и запорной арматурой, контрольно-измерительными приборами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Безаварийная работа автоклавов достигается качеством изготовления, режимом эксплуатации, своевременным проведением технического освидетельствования и профилактических ремонтов в установленные сроки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B043A6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Во избежание аварий, автоклавы оборудуются системой блокировок, исключающей впуск пара в автоклав с не полностью закрытыми крышками, а также открывание крышек при наличии давления в автоклавах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 xml:space="preserve">На </w:t>
      </w:r>
      <w:r w:rsidR="00B043A6">
        <w:rPr>
          <w:color w:val="000000"/>
          <w:sz w:val="20"/>
          <w:szCs w:val="20"/>
        </w:rPr>
        <w:t>рис.3</w:t>
      </w:r>
      <w:r w:rsidR="00B043A6" w:rsidRPr="00B043A6">
        <w:rPr>
          <w:color w:val="000000"/>
          <w:sz w:val="20"/>
          <w:szCs w:val="20"/>
        </w:rPr>
        <w:t>.</w:t>
      </w:r>
      <w:r w:rsidR="00B043A6">
        <w:rPr>
          <w:color w:val="000000"/>
          <w:sz w:val="20"/>
          <w:szCs w:val="20"/>
        </w:rPr>
        <w:t>3.8</w:t>
      </w:r>
      <w:r w:rsidRPr="00B043A6">
        <w:rPr>
          <w:color w:val="000000"/>
          <w:sz w:val="20"/>
          <w:szCs w:val="20"/>
        </w:rPr>
        <w:t xml:space="preserve"> приведена схема автоматической блокировки крышки автоклава при наличии в нем давления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Из автоклав (рис</w:t>
      </w:r>
      <w:r w:rsidR="00B043A6" w:rsidRPr="00B043A6">
        <w:rPr>
          <w:color w:val="000000"/>
          <w:sz w:val="20"/>
          <w:szCs w:val="20"/>
        </w:rPr>
        <w:t>3.</w:t>
      </w:r>
      <w:r w:rsidR="00B043A6">
        <w:rPr>
          <w:color w:val="000000"/>
          <w:sz w:val="20"/>
          <w:szCs w:val="20"/>
        </w:rPr>
        <w:t>3.8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через конденсационный сосуд 8 пар поступает в реле давления 7 и, прогибая резиновую мембрану 5, приводит в движение шток 6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Последний упирается в выключатель 4 и разрывает электрическую цепь электромагнитного замка 9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В этом случае электромагнитный замок отпускает сердечник 10, который под действием пружины 11 замыкает фиксатор 12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Последний не позволяет вращать ручку 13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червячной лебёдки 14 и тем самым препятствует повороту крышки 15 автоклава в затворе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4136EE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Если давление пара в автоклаве снято, то электрическая сеть замка 9 замыкается переключателем 4, сердечник 10 втягивается в электромагнит и размыкает фиксатор 12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Этим обеспечивает возможность вращения ручки 13 для открывания крышки автоклава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B043A6" w:rsidRPr="00B043A6" w:rsidRDefault="00B043A6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4136EE" w:rsidRPr="00B043A6" w:rsidRDefault="00771F17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>
          <v:shape id="_x0000_i1027" type="#_x0000_t75" style="width:411.75pt;height:221.25pt" fillcolor="window">
            <v:imagedata r:id="rId9" o:title="" cropbottom="1591f"/>
          </v:shape>
        </w:pict>
      </w:r>
    </w:p>
    <w:p w:rsidR="00B043A6" w:rsidRPr="00B043A6" w:rsidRDefault="00B043A6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Рис.3</w:t>
      </w:r>
      <w:r w:rsidRPr="00B043A6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3.8</w:t>
      </w:r>
      <w:r w:rsidR="004136EE" w:rsidRPr="00B043A6">
        <w:rPr>
          <w:color w:val="000000"/>
          <w:sz w:val="20"/>
          <w:szCs w:val="20"/>
        </w:rPr>
        <w:t xml:space="preserve"> Автоматическая блокировка крышки автоклава</w:t>
      </w:r>
      <w:r w:rsidRPr="00B043A6">
        <w:rPr>
          <w:color w:val="000000"/>
          <w:sz w:val="20"/>
          <w:szCs w:val="20"/>
        </w:rPr>
        <w:t xml:space="preserve">. </w:t>
      </w:r>
    </w:p>
    <w:p w:rsidR="00B043A6" w:rsidRDefault="00B043A6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Схема автоматической блокировки подачи пара в автоклав (</w:t>
      </w:r>
      <w:r w:rsidR="00B043A6">
        <w:rPr>
          <w:color w:val="000000"/>
          <w:sz w:val="20"/>
          <w:szCs w:val="20"/>
        </w:rPr>
        <w:t>рис.3</w:t>
      </w:r>
      <w:r w:rsidR="00B043A6" w:rsidRPr="00B043A6">
        <w:rPr>
          <w:color w:val="000000"/>
          <w:sz w:val="20"/>
          <w:szCs w:val="20"/>
        </w:rPr>
        <w:t>.</w:t>
      </w:r>
      <w:r w:rsidR="00B043A6">
        <w:rPr>
          <w:color w:val="000000"/>
          <w:sz w:val="20"/>
          <w:szCs w:val="20"/>
        </w:rPr>
        <w:t>3.9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исключает возможность впуска пара в автоклав, если крышки автоклава не закрыты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На автоклаве 1 помещен конечный выключатель 2, который срабатывает в том случае если крышка 3 плотно закрыта и шток 4, преодолев усилие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пружины 5, воздействует на этот выключатель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При замыкании цепи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электромагнит 6, сжимая пружину 7</w:t>
      </w:r>
      <w:r w:rsidR="00B043A6" w:rsidRPr="00B043A6">
        <w:rPr>
          <w:color w:val="000000"/>
          <w:sz w:val="20"/>
          <w:szCs w:val="20"/>
        </w:rPr>
        <w:t>,</w:t>
      </w:r>
      <w:r w:rsidRPr="00B043A6">
        <w:rPr>
          <w:color w:val="000000"/>
          <w:sz w:val="20"/>
          <w:szCs w:val="20"/>
        </w:rPr>
        <w:t xml:space="preserve"> поднимает стопор 8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и освободит храповое колесо 9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После этого можно вращать маховик 10</w:t>
      </w:r>
      <w:r w:rsidR="00B043A6" w:rsidRPr="00B043A6">
        <w:rPr>
          <w:color w:val="000000"/>
          <w:sz w:val="20"/>
          <w:szCs w:val="20"/>
        </w:rPr>
        <w:t>,</w:t>
      </w:r>
      <w:r w:rsidRPr="00B043A6">
        <w:rPr>
          <w:color w:val="000000"/>
          <w:sz w:val="20"/>
          <w:szCs w:val="20"/>
        </w:rPr>
        <w:t xml:space="preserve"> соединенный с храповым колесом, для впуска пара в автоклав через вентиль 11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При эксплуатации автоклавов применяют систему, при которой рабочий-пропарщик во время пропарки изделий запирает в своём шкафу жетон с номером автоклава и номером его крышки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Окончив пропарку и сняв давление в автоклаве, пропарщик передаёт жетон загрузчику-выгрузчику, который имеет право открывать и закрывать крышку автоклава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Закончив работу, лицо, обсуживающее автоклав, закрывает его крышку, а жетон под расписку возвращает пропарщику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Жетонная система позволяет избежать нарушения правил безопасного обслуживания автоклава и предотвратить несчастные случаи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B043A6" w:rsidRPr="00B043A6" w:rsidRDefault="00B043A6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4136EE" w:rsidRPr="00B043A6" w:rsidRDefault="00771F17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>
          <v:shape id="_x0000_i1028" type="#_x0000_t75" style="width:419.25pt;height:260.25pt" fillcolor="window">
            <v:imagedata r:id="rId10" o:title=""/>
          </v:shape>
        </w:pict>
      </w:r>
    </w:p>
    <w:p w:rsidR="00B043A6" w:rsidRPr="00B043A6" w:rsidRDefault="00B043A6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Рис.3.3.9</w:t>
      </w:r>
      <w:r w:rsidR="004136EE" w:rsidRPr="00B043A6">
        <w:rPr>
          <w:color w:val="000000"/>
          <w:sz w:val="20"/>
          <w:szCs w:val="20"/>
        </w:rPr>
        <w:t xml:space="preserve"> Схема автоматического впуска пара в автоклав</w:t>
      </w:r>
    </w:p>
    <w:p w:rsidR="00B043A6" w:rsidRDefault="00B043A6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B043A6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В значительной степени безопасность жизнедеятельности, как в сфере производства, так и в бытовой сфере, зависит от надежности работы трубопроводов, служащих для транспортировки различных газов и жидкостей, воды, пара, сжатого воздуха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Категория трубопроводов определяется по рабочим параметрам транспортируемых веществ, условиями окружающей среды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 xml:space="preserve">Проектирование трубопроводов, прокладка и монтаж должны выполняться в соответствии со строительными правилами, согласованными с Госнадзором и </w:t>
      </w:r>
      <w:r w:rsidR="00B043A6" w:rsidRPr="00B043A6">
        <w:rPr>
          <w:color w:val="000000"/>
          <w:sz w:val="20"/>
          <w:szCs w:val="20"/>
        </w:rPr>
        <w:t>"</w:t>
      </w:r>
      <w:r w:rsidRPr="00B043A6">
        <w:rPr>
          <w:color w:val="000000"/>
          <w:sz w:val="20"/>
          <w:szCs w:val="20"/>
        </w:rPr>
        <w:t>Правилами устройства и безопасной эксплуатации трубопроводов</w:t>
      </w:r>
      <w:r w:rsidR="00B043A6" w:rsidRPr="00B043A6">
        <w:rPr>
          <w:color w:val="000000"/>
          <w:sz w:val="20"/>
          <w:szCs w:val="20"/>
        </w:rPr>
        <w:t>"</w:t>
      </w:r>
      <w:r w:rsidRPr="00B043A6">
        <w:rPr>
          <w:color w:val="000000"/>
          <w:sz w:val="20"/>
          <w:szCs w:val="20"/>
        </w:rPr>
        <w:t xml:space="preserve">, </w:t>
      </w:r>
      <w:r w:rsidR="00B043A6" w:rsidRPr="00B043A6">
        <w:rPr>
          <w:color w:val="000000"/>
          <w:sz w:val="20"/>
          <w:szCs w:val="20"/>
        </w:rPr>
        <w:t>"</w:t>
      </w:r>
      <w:r w:rsidRPr="00B043A6">
        <w:rPr>
          <w:color w:val="000000"/>
          <w:sz w:val="20"/>
          <w:szCs w:val="20"/>
        </w:rPr>
        <w:t>Правила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устройства и безопасной эксплуатации сосудов, работающих под давлением</w:t>
      </w:r>
      <w:r w:rsidR="00B043A6" w:rsidRPr="00B043A6">
        <w:rPr>
          <w:color w:val="000000"/>
          <w:sz w:val="20"/>
          <w:szCs w:val="20"/>
        </w:rPr>
        <w:t xml:space="preserve">". </w:t>
      </w:r>
      <w:r w:rsidRPr="00B043A6">
        <w:rPr>
          <w:color w:val="000000"/>
          <w:sz w:val="20"/>
          <w:szCs w:val="20"/>
        </w:rPr>
        <w:t>В зависимости от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транспортировки вида рабочего тела трубопроводы должны иметь определенную предупредительную окраску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Определено 10 групп веществ и их соответствующая окраска</w:t>
      </w:r>
      <w:r w:rsidR="00B043A6" w:rsidRPr="00B043A6">
        <w:rPr>
          <w:color w:val="000000"/>
          <w:sz w:val="20"/>
          <w:szCs w:val="20"/>
        </w:rPr>
        <w:t xml:space="preserve">: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Вода (</w:t>
      </w:r>
      <w:r w:rsidRPr="00B043A6">
        <w:rPr>
          <w:color w:val="000000"/>
          <w:sz w:val="20"/>
          <w:szCs w:val="20"/>
          <w:lang w:val="en-US"/>
        </w:rPr>
        <w:t>I</w:t>
      </w:r>
      <w:r w:rsidRPr="00B043A6">
        <w:rPr>
          <w:color w:val="000000"/>
          <w:sz w:val="20"/>
          <w:szCs w:val="20"/>
        </w:rPr>
        <w:t xml:space="preserve"> группа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– зеленый, пар (</w:t>
      </w:r>
      <w:r w:rsidRPr="00B043A6">
        <w:rPr>
          <w:color w:val="000000"/>
          <w:sz w:val="20"/>
          <w:szCs w:val="20"/>
          <w:lang w:val="en-US"/>
        </w:rPr>
        <w:t>II</w:t>
      </w:r>
      <w:r w:rsidRPr="00B043A6">
        <w:rPr>
          <w:color w:val="000000"/>
          <w:sz w:val="20"/>
          <w:szCs w:val="20"/>
        </w:rPr>
        <w:t xml:space="preserve"> группа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– красный, воздух (</w:t>
      </w:r>
      <w:r w:rsidRPr="00B043A6">
        <w:rPr>
          <w:color w:val="000000"/>
          <w:sz w:val="20"/>
          <w:szCs w:val="20"/>
          <w:lang w:val="en-US"/>
        </w:rPr>
        <w:t>III</w:t>
      </w:r>
      <w:r w:rsidRPr="00B043A6">
        <w:rPr>
          <w:color w:val="000000"/>
          <w:sz w:val="20"/>
          <w:szCs w:val="20"/>
        </w:rPr>
        <w:t xml:space="preserve"> группа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– синий, горючие и негорючие газы (</w:t>
      </w:r>
      <w:r w:rsidRPr="00B043A6">
        <w:rPr>
          <w:color w:val="000000"/>
          <w:sz w:val="20"/>
          <w:szCs w:val="20"/>
          <w:lang w:val="en-US"/>
        </w:rPr>
        <w:t>IV</w:t>
      </w:r>
      <w:r w:rsidRPr="00B043A6">
        <w:rPr>
          <w:color w:val="000000"/>
          <w:sz w:val="20"/>
          <w:szCs w:val="20"/>
        </w:rPr>
        <w:t xml:space="preserve"> и </w:t>
      </w:r>
      <w:r w:rsidRPr="00B043A6">
        <w:rPr>
          <w:color w:val="000000"/>
          <w:sz w:val="20"/>
          <w:szCs w:val="20"/>
          <w:lang w:val="en-US"/>
        </w:rPr>
        <w:t>V</w:t>
      </w:r>
      <w:r w:rsidRPr="00B043A6">
        <w:rPr>
          <w:color w:val="000000"/>
          <w:sz w:val="20"/>
          <w:szCs w:val="20"/>
        </w:rPr>
        <w:t xml:space="preserve"> группа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– желтый, кислота (</w:t>
      </w:r>
      <w:r w:rsidRPr="00B043A6">
        <w:rPr>
          <w:color w:val="000000"/>
          <w:sz w:val="20"/>
          <w:szCs w:val="20"/>
          <w:lang w:val="en-US"/>
        </w:rPr>
        <w:t>VI</w:t>
      </w:r>
      <w:r w:rsidRPr="00B043A6">
        <w:rPr>
          <w:color w:val="000000"/>
          <w:sz w:val="20"/>
          <w:szCs w:val="20"/>
        </w:rPr>
        <w:t xml:space="preserve"> группа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– оранжевый, щелочи (</w:t>
      </w:r>
      <w:r w:rsidRPr="00B043A6">
        <w:rPr>
          <w:color w:val="000000"/>
          <w:sz w:val="20"/>
          <w:szCs w:val="20"/>
          <w:lang w:val="en-US"/>
        </w:rPr>
        <w:t>VII</w:t>
      </w:r>
      <w:r w:rsidRPr="00B043A6">
        <w:rPr>
          <w:color w:val="000000"/>
          <w:sz w:val="20"/>
          <w:szCs w:val="20"/>
        </w:rPr>
        <w:t xml:space="preserve"> группа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– фиолетовый, горючие и негорючие жидкости (</w:t>
      </w:r>
      <w:r w:rsidRPr="00B043A6">
        <w:rPr>
          <w:color w:val="000000"/>
          <w:sz w:val="20"/>
          <w:szCs w:val="20"/>
          <w:lang w:val="en-US"/>
        </w:rPr>
        <w:t>VIII</w:t>
      </w:r>
      <w:r w:rsidRPr="00B043A6">
        <w:rPr>
          <w:color w:val="000000"/>
          <w:sz w:val="20"/>
          <w:szCs w:val="20"/>
        </w:rPr>
        <w:t xml:space="preserve"> и </w:t>
      </w:r>
      <w:r w:rsidRPr="00B043A6">
        <w:rPr>
          <w:color w:val="000000"/>
          <w:sz w:val="20"/>
          <w:szCs w:val="20"/>
          <w:lang w:val="en-US"/>
        </w:rPr>
        <w:t>IX</w:t>
      </w:r>
      <w:r w:rsidRPr="00B043A6">
        <w:rPr>
          <w:color w:val="000000"/>
          <w:sz w:val="20"/>
          <w:szCs w:val="20"/>
        </w:rPr>
        <w:t xml:space="preserve"> группы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– коричневый, другие вещества (нулевая группа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– серый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В производственных условиях для выделения опасности на трубопроводах наносят предупреждающие сигнальные цветные разметки (чаще в виде колец</w:t>
      </w:r>
      <w:r w:rsidR="00B043A6" w:rsidRPr="00B043A6">
        <w:rPr>
          <w:color w:val="000000"/>
          <w:sz w:val="20"/>
          <w:szCs w:val="20"/>
        </w:rPr>
        <w:t xml:space="preserve">): </w:t>
      </w:r>
      <w:r w:rsidRPr="00B043A6">
        <w:rPr>
          <w:color w:val="000000"/>
          <w:sz w:val="20"/>
          <w:szCs w:val="20"/>
        </w:rPr>
        <w:t>для легковоспламеняющихся, взрыво</w:t>
      </w:r>
      <w:r w:rsidR="00B043A6" w:rsidRPr="00B043A6">
        <w:rPr>
          <w:color w:val="000000"/>
          <w:sz w:val="20"/>
          <w:szCs w:val="20"/>
        </w:rPr>
        <w:t xml:space="preserve">- </w:t>
      </w:r>
      <w:r w:rsidRPr="00B043A6">
        <w:rPr>
          <w:color w:val="000000"/>
          <w:sz w:val="20"/>
          <w:szCs w:val="20"/>
        </w:rPr>
        <w:t>и пожароопасных веществ (токсичных, радиоактивных, отравляющих</w:t>
      </w:r>
      <w:r w:rsidR="00B043A6" w:rsidRPr="00B043A6">
        <w:rPr>
          <w:color w:val="000000"/>
          <w:sz w:val="20"/>
          <w:szCs w:val="20"/>
        </w:rPr>
        <w:t xml:space="preserve">) </w:t>
      </w:r>
      <w:r w:rsidRPr="00B043A6">
        <w:rPr>
          <w:color w:val="000000"/>
          <w:sz w:val="20"/>
          <w:szCs w:val="20"/>
        </w:rPr>
        <w:t>– желтые, для относительно безопасных и нейтральных веществ – зеленые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Число предупредительных колец указывает на степень опасности веществ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Как дополнительная мера на опасных участках могут быть установлены с учетом опасности веществ предупредительные щиты, знаки, выполнено защитное ограждение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Безопасность эксплуатации трубопроводов достигается их качественной прокладкой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и монтажом, системой контроля их состояния, установкой специальных компенсационных устройств, предохранительных устройств и запорной арматуры</w:t>
      </w:r>
      <w:r w:rsidR="00B043A6" w:rsidRPr="00B043A6">
        <w:rPr>
          <w:color w:val="000000"/>
          <w:sz w:val="20"/>
          <w:szCs w:val="20"/>
        </w:rPr>
        <w:t xml:space="preserve">.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Периодически трубопроводы подлежат внешнему осмотру, особое внимание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обращается на все соединения, в том числе сварные, и выявление дефектов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Осмотр и оценка сварных швов должны производиться при приемке трубопроводов в эксплуатацию в соответствии с требованиями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на изготовление трубопроводов и инструкцией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по сварке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При этом в сварочном соединении выявляются возможные внутренние дефекты</w:t>
      </w:r>
      <w:r w:rsidR="00B043A6" w:rsidRPr="00B043A6">
        <w:rPr>
          <w:color w:val="000000"/>
          <w:sz w:val="20"/>
          <w:szCs w:val="20"/>
        </w:rPr>
        <w:t xml:space="preserve">: </w:t>
      </w:r>
      <w:r w:rsidRPr="00B043A6">
        <w:rPr>
          <w:color w:val="000000"/>
          <w:sz w:val="20"/>
          <w:szCs w:val="20"/>
        </w:rPr>
        <w:t xml:space="preserve">трещины, непровар, поры, шлаковые включения и </w:t>
      </w:r>
      <w:r w:rsidR="00B043A6" w:rsidRPr="00B043A6">
        <w:rPr>
          <w:color w:val="000000"/>
          <w:sz w:val="20"/>
          <w:szCs w:val="20"/>
        </w:rPr>
        <w:t xml:space="preserve">т.д.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Трубопроводы 1-й категории с условным</w:t>
      </w:r>
      <w:r w:rsidR="00B043A6" w:rsidRPr="00B043A6">
        <w:rPr>
          <w:color w:val="000000"/>
          <w:sz w:val="20"/>
          <w:szCs w:val="20"/>
        </w:rPr>
        <w:t xml:space="preserve"> </w:t>
      </w:r>
      <w:r w:rsidRPr="00B043A6">
        <w:rPr>
          <w:color w:val="000000"/>
          <w:sz w:val="20"/>
          <w:szCs w:val="20"/>
        </w:rPr>
        <w:t>проходом более 70 мм, а также трубопроводы 1-й и 2-й категории с условным проходом более 100мм должны быть до пуска зарегистрированы в органах Госнадзора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>Другие трубопроводы подлежат регистрации на предприятии</w:t>
      </w:r>
      <w:r w:rsidR="00B043A6" w:rsidRPr="00B043A6">
        <w:rPr>
          <w:color w:val="000000"/>
          <w:sz w:val="20"/>
          <w:szCs w:val="20"/>
        </w:rPr>
        <w:t xml:space="preserve">. </w:t>
      </w:r>
      <w:r w:rsidRPr="00B043A6">
        <w:rPr>
          <w:color w:val="000000"/>
          <w:sz w:val="20"/>
          <w:szCs w:val="20"/>
        </w:rPr>
        <w:t xml:space="preserve">Трубопроводы, составляющие разветвленную часть аппаратов, принимаются в эксплуатацию в соответствии с </w:t>
      </w:r>
      <w:r w:rsidR="00B043A6" w:rsidRPr="00B043A6">
        <w:rPr>
          <w:color w:val="000000"/>
          <w:sz w:val="20"/>
          <w:szCs w:val="20"/>
        </w:rPr>
        <w:t>"</w:t>
      </w:r>
      <w:r w:rsidRPr="00B043A6">
        <w:rPr>
          <w:color w:val="000000"/>
          <w:sz w:val="20"/>
          <w:szCs w:val="20"/>
        </w:rPr>
        <w:t>Правилами устройства и безопасной эксплуатации сосудов, работающих под давлением</w:t>
      </w:r>
      <w:r w:rsidR="00B043A6" w:rsidRPr="00B043A6">
        <w:rPr>
          <w:color w:val="000000"/>
          <w:sz w:val="20"/>
          <w:szCs w:val="20"/>
        </w:rPr>
        <w:t xml:space="preserve">". </w:t>
      </w:r>
      <w:r w:rsidRPr="00B043A6">
        <w:rPr>
          <w:color w:val="000000"/>
          <w:sz w:val="20"/>
          <w:szCs w:val="20"/>
        </w:rPr>
        <w:t>Техническое освидетельствование трубопроводов должно проводиться в следующие сроки</w:t>
      </w:r>
      <w:r w:rsidR="00B043A6" w:rsidRPr="00B043A6">
        <w:rPr>
          <w:color w:val="000000"/>
          <w:sz w:val="20"/>
          <w:szCs w:val="20"/>
        </w:rPr>
        <w:t xml:space="preserve">: </w:t>
      </w:r>
    </w:p>
    <w:p w:rsidR="004136EE" w:rsidRP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наружный осмотр открытых трубопроводов, находящихся под рабочим давлением – не реже одного раза в год</w:t>
      </w:r>
      <w:r w:rsidR="00B043A6" w:rsidRPr="00B043A6">
        <w:rPr>
          <w:color w:val="000000"/>
          <w:sz w:val="20"/>
          <w:szCs w:val="20"/>
        </w:rPr>
        <w:t xml:space="preserve">; </w:t>
      </w:r>
    </w:p>
    <w:p w:rsidR="00B043A6" w:rsidRDefault="004136EE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043A6">
        <w:rPr>
          <w:color w:val="000000"/>
          <w:sz w:val="20"/>
          <w:szCs w:val="20"/>
        </w:rPr>
        <w:t>гидравлические испытания трубопроводов на прочность и плотность производятся одновременно давлением 1,25 рабочего, но не менее 0,2МПа перед пуском в эксплуатацию, после ремонта, а также после нахождения в консервации более 1 года (выдержка давления в течение 5 мин</w:t>
      </w:r>
      <w:r w:rsidR="00B043A6" w:rsidRPr="00B043A6">
        <w:rPr>
          <w:color w:val="000000"/>
          <w:sz w:val="20"/>
          <w:szCs w:val="20"/>
        </w:rPr>
        <w:t xml:space="preserve">). </w:t>
      </w:r>
      <w:r w:rsidRPr="00B043A6">
        <w:rPr>
          <w:color w:val="000000"/>
          <w:sz w:val="20"/>
          <w:szCs w:val="20"/>
        </w:rPr>
        <w:t xml:space="preserve">После этого обнаруживается потеря давления, разрывы, течь, запотевания, микротрещины и </w:t>
      </w:r>
      <w:r w:rsidR="00B043A6" w:rsidRPr="00B043A6">
        <w:rPr>
          <w:color w:val="000000"/>
          <w:sz w:val="20"/>
          <w:szCs w:val="20"/>
        </w:rPr>
        <w:t xml:space="preserve">т.д. </w:t>
      </w:r>
    </w:p>
    <w:p w:rsidR="00DC4A5A" w:rsidRPr="00B043A6" w:rsidRDefault="00DC4A5A" w:rsidP="00B043A6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bookmarkStart w:id="0" w:name="_GoBack"/>
      <w:bookmarkEnd w:id="0"/>
    </w:p>
    <w:sectPr w:rsidR="00DC4A5A" w:rsidRPr="00B043A6" w:rsidSect="00B043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4D" w:rsidRDefault="0012754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2754D" w:rsidRDefault="0012754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A6" w:rsidRDefault="00B043A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A6" w:rsidRDefault="00B043A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4D" w:rsidRDefault="0012754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2754D" w:rsidRDefault="0012754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A6" w:rsidRDefault="006976B3" w:rsidP="00511DB3">
    <w:pPr>
      <w:pStyle w:val="ab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043A6" w:rsidRDefault="00B043A6" w:rsidP="00B043A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A6" w:rsidRDefault="00B043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A5A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0F4D50"/>
    <w:rsid w:val="001017AE"/>
    <w:rsid w:val="00105BA2"/>
    <w:rsid w:val="0011176D"/>
    <w:rsid w:val="00114456"/>
    <w:rsid w:val="0012754D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F7A72"/>
    <w:rsid w:val="004136EE"/>
    <w:rsid w:val="00422AE9"/>
    <w:rsid w:val="00440F1B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1DB3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63468C"/>
    <w:rsid w:val="00636530"/>
    <w:rsid w:val="00656983"/>
    <w:rsid w:val="00684195"/>
    <w:rsid w:val="006929F6"/>
    <w:rsid w:val="00693DAB"/>
    <w:rsid w:val="006976B3"/>
    <w:rsid w:val="006A5B32"/>
    <w:rsid w:val="006D7BC3"/>
    <w:rsid w:val="006F5AE7"/>
    <w:rsid w:val="0073760E"/>
    <w:rsid w:val="0074613A"/>
    <w:rsid w:val="00770DDB"/>
    <w:rsid w:val="00771F17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5054E"/>
    <w:rsid w:val="0095724D"/>
    <w:rsid w:val="0096227B"/>
    <w:rsid w:val="009B3BD7"/>
    <w:rsid w:val="009C611F"/>
    <w:rsid w:val="009E32A4"/>
    <w:rsid w:val="009F5464"/>
    <w:rsid w:val="009F7356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E2BC6"/>
    <w:rsid w:val="00AF5AA4"/>
    <w:rsid w:val="00B043A6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188B"/>
    <w:rsid w:val="00D33D6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C4A5A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34F1"/>
    <w:rsid w:val="00EF5273"/>
    <w:rsid w:val="00F1162E"/>
    <w:rsid w:val="00F13B41"/>
    <w:rsid w:val="00F14636"/>
    <w:rsid w:val="00F461CD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CAE64D9-C120-4A53-B5E8-89206521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B043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043A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043A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043A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043A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043A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043A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043A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043A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B043A6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DC4A5A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DC4A5A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caption"/>
    <w:basedOn w:val="a2"/>
    <w:next w:val="a2"/>
    <w:uiPriority w:val="99"/>
    <w:qFormat/>
    <w:rsid w:val="004136EE"/>
    <w:pPr>
      <w:widowControl w:val="0"/>
      <w:tabs>
        <w:tab w:val="left" w:pos="0"/>
      </w:tabs>
      <w:autoSpaceDE w:val="0"/>
      <w:autoSpaceDN w:val="0"/>
      <w:adjustRightInd w:val="0"/>
      <w:ind w:firstLine="900"/>
      <w:jc w:val="center"/>
    </w:pPr>
    <w:rPr>
      <w:b/>
      <w:bCs/>
      <w:color w:val="000000"/>
      <w:sz w:val="22"/>
      <w:szCs w:val="22"/>
    </w:rPr>
  </w:style>
  <w:style w:type="paragraph" w:styleId="a9">
    <w:name w:val="Body Text Indent"/>
    <w:basedOn w:val="a2"/>
    <w:link w:val="aa"/>
    <w:uiPriority w:val="99"/>
    <w:rsid w:val="004136EE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styleId="ab">
    <w:name w:val="header"/>
    <w:basedOn w:val="a2"/>
    <w:next w:val="a6"/>
    <w:link w:val="ac"/>
    <w:uiPriority w:val="99"/>
    <w:rsid w:val="00B043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B043A6"/>
    <w:rPr>
      <w:sz w:val="28"/>
      <w:szCs w:val="28"/>
      <w:vertAlign w:val="superscript"/>
    </w:rPr>
  </w:style>
  <w:style w:type="paragraph" w:customStyle="1" w:styleId="ae">
    <w:name w:val="выделение"/>
    <w:uiPriority w:val="99"/>
    <w:rsid w:val="00B043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B043A6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B043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043A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043A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043A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locked/>
    <w:rsid w:val="00B043A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B043A6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B043A6"/>
  </w:style>
  <w:style w:type="character" w:customStyle="1" w:styleId="af5">
    <w:name w:val="номер страницы"/>
    <w:uiPriority w:val="99"/>
    <w:rsid w:val="00B043A6"/>
    <w:rPr>
      <w:sz w:val="28"/>
      <w:szCs w:val="28"/>
    </w:rPr>
  </w:style>
  <w:style w:type="paragraph" w:styleId="af6">
    <w:name w:val="Normal (Web)"/>
    <w:basedOn w:val="a2"/>
    <w:uiPriority w:val="99"/>
    <w:rsid w:val="00B043A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043A6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B043A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B043A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043A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043A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B043A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043A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043A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043A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043A6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043A6"/>
    <w:rPr>
      <w:i/>
      <w:iCs/>
    </w:rPr>
  </w:style>
  <w:style w:type="paragraph" w:customStyle="1" w:styleId="af7">
    <w:name w:val="схема"/>
    <w:basedOn w:val="a2"/>
    <w:uiPriority w:val="99"/>
    <w:rsid w:val="00B043A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B043A6"/>
    <w:pPr>
      <w:spacing w:line="360" w:lineRule="auto"/>
    </w:pPr>
    <w:rPr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B043A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B043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2014-03-13T17:38:00Z</dcterms:created>
  <dcterms:modified xsi:type="dcterms:W3CDTF">2014-03-13T17:38:00Z</dcterms:modified>
</cp:coreProperties>
</file>